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left="709"/>
        <w:textAlignment w:val="baseline"/>
        <w:rPr/>
      </w:pPr>
      <w:r>
        <mc:AlternateContent>
          <mc:Choice Requires="wps">
            <w:drawing>
              <wp:anchor behindDoc="0" distT="635" distB="0" distL="0" distR="0" simplePos="0" locked="0" layoutInCell="1" allowOverlap="1" relativeHeight="2">
                <wp:simplePos x="0" y="0"/>
                <wp:positionH relativeFrom="column">
                  <wp:posOffset>91440</wp:posOffset>
                </wp:positionH>
                <wp:positionV relativeFrom="paragraph">
                  <wp:posOffset>17780</wp:posOffset>
                </wp:positionV>
                <wp:extent cx="1880870" cy="749935"/>
                <wp:effectExtent l="0" t="635" r="0" b="0"/>
                <wp:wrapNone/>
                <wp:docPr id="1" name="Ramka1"/>
                <a:graphic xmlns:a="http://schemas.openxmlformats.org/drawingml/2006/main">
                  <a:graphicData uri="http://schemas.microsoft.com/office/word/2010/wordprocessingShape">
                    <wps:wsp>
                      <wps:cNvSpPr/>
                      <wps:spPr>
                        <a:xfrm>
                          <a:off x="0" y="0"/>
                          <a:ext cx="1881000" cy="749880"/>
                        </a:xfrm>
                        <a:prstGeom prst="rect">
                          <a:avLst/>
                        </a:prstGeom>
                        <a:solidFill>
                          <a:srgbClr val="ffffff"/>
                        </a:solidFill>
                        <a:ln w="0">
                          <a:noFill/>
                        </a:ln>
                      </wps:spPr>
                      <wps:style>
                        <a:lnRef idx="0"/>
                        <a:fillRef idx="0"/>
                        <a:effectRef idx="0"/>
                        <a:fontRef idx="minor"/>
                      </wps:style>
                      <wps:txbx>
                        <w:txbxContent>
                          <w:p>
                            <w:pPr>
                              <w:pStyle w:val="Zawartoramki"/>
                              <w:rPr>
                                <w:color w:val="000000"/>
                              </w:rPr>
                            </w:pPr>
                            <w:r>
                              <w:rPr>
                                <w:color w:val="000000"/>
                              </w:rPr>
                            </w:r>
                          </w:p>
                          <w:p>
                            <w:pPr>
                              <w:pStyle w:val="Zawartoramki"/>
                              <w:rPr>
                                <w:color w:val="000000"/>
                              </w:rPr>
                            </w:pPr>
                            <w:r>
                              <w:rPr>
                                <w:color w:val="000000"/>
                              </w:rPr>
                            </w:r>
                          </w:p>
                          <w:p>
                            <w:pPr>
                              <w:pStyle w:val="Zawartoramki"/>
                              <w:spacing w:before="0" w:after="120"/>
                              <w:jc w:val="center"/>
                              <w:rPr>
                                <w:bCs/>
                                <w:sz w:val="16"/>
                                <w:szCs w:val="16"/>
                              </w:rPr>
                            </w:pPr>
                            <w:r>
                              <w:rPr>
                                <w:color w:val="000000"/>
                              </w:rPr>
                            </w:r>
                          </w:p>
                        </w:txbxContent>
                      </wps:txbx>
                      <wps:bodyPr lIns="17640" rIns="17640" tIns="17640" bIns="17640" anchor="t">
                        <a:noAutofit/>
                      </wps:bodyPr>
                    </wps:wsp>
                  </a:graphicData>
                </a:graphic>
              </wp:anchor>
            </w:drawing>
          </mc:Choice>
          <mc:Fallback>
            <w:pict>
              <v:rect id="shape_0" ID="Ramka1" path="m0,0l-2147483645,0l-2147483645,-2147483646l0,-2147483646xe" fillcolor="white" stroked="f" o:allowincell="f" style="position:absolute;margin-left:7.2pt;margin-top:1.4pt;width:148.05pt;height:59pt;mso-wrap-style:square;v-text-anchor:top">
                <v:fill o:detectmouseclick="t" type="solid" color2="black"/>
                <v:stroke color="#3465a4" joinstyle="round" endcap="flat"/>
                <v:textbox>
                  <w:txbxContent>
                    <w:p>
                      <w:pPr>
                        <w:pStyle w:val="Zawartoramki"/>
                        <w:rPr>
                          <w:color w:val="000000"/>
                        </w:rPr>
                      </w:pPr>
                      <w:r>
                        <w:rPr>
                          <w:color w:val="000000"/>
                        </w:rPr>
                      </w:r>
                    </w:p>
                    <w:p>
                      <w:pPr>
                        <w:pStyle w:val="Zawartoramki"/>
                        <w:rPr>
                          <w:color w:val="000000"/>
                        </w:rPr>
                      </w:pPr>
                      <w:r>
                        <w:rPr>
                          <w:color w:val="000000"/>
                        </w:rPr>
                      </w:r>
                    </w:p>
                    <w:p>
                      <w:pPr>
                        <w:pStyle w:val="Zawartoramki"/>
                        <w:spacing w:before="0" w:after="120"/>
                        <w:jc w:val="center"/>
                        <w:rPr>
                          <w:bCs/>
                          <w:sz w:val="16"/>
                          <w:szCs w:val="16"/>
                        </w:rPr>
                      </w:pPr>
                      <w:r>
                        <w:rPr>
                          <w:color w:val="000000"/>
                        </w:rPr>
                      </w:r>
                    </w:p>
                  </w:txbxContent>
                </v:textbox>
                <w10:wrap type="none"/>
              </v:rect>
            </w:pict>
          </mc:Fallback>
        </mc:AlternateContent>
      </w:r>
      <w:r>
        <w:rPr>
          <w:rFonts w:cs="Calibri" w:ascii="Times New Roman" w:hAnsi="Times New Roman"/>
          <w:b/>
          <w:kern w:val="2"/>
          <w:lang w:eastAsia="pl-PL"/>
        </w:rPr>
        <w:tab/>
        <w:tab/>
        <w:tab/>
        <w:tab/>
        <w:tab/>
        <w:tab/>
        <w:tab/>
      </w:r>
    </w:p>
    <w:p>
      <w:pPr>
        <w:pStyle w:val="Normal"/>
        <w:spacing w:lineRule="auto" w:line="240" w:before="0" w:after="0"/>
        <w:ind w:left="709"/>
        <w:textAlignment w:val="baseline"/>
        <w:rPr>
          <w:rFonts w:ascii="Times New Roman" w:hAnsi="Times New Roman" w:cs="Calibri"/>
          <w:b/>
          <w:kern w:val="2"/>
          <w:lang w:eastAsia="pl-PL"/>
        </w:rPr>
      </w:pPr>
      <w:r>
        <w:rPr>
          <w:rFonts w:cs="Calibri" w:ascii="Times New Roman" w:hAnsi="Times New Roman"/>
          <w:b/>
          <w:kern w:val="2"/>
          <w:lang w:eastAsia="pl-PL"/>
        </w:rPr>
        <w:tab/>
        <w:tab/>
        <w:tab/>
        <w:tab/>
        <w:tab/>
        <w:tab/>
        <w:tab/>
        <w:tab/>
        <w:tab/>
        <w:tab/>
        <w:tab/>
        <w:tab/>
        <w:tab/>
        <w:tab/>
        <w:t>Załącznik nr 1</w:t>
      </w:r>
      <w:r>
        <w:rPr>
          <w:rFonts w:cs="Calibri" w:ascii="Times New Roman" w:hAnsi="Times New Roman"/>
          <w:b/>
          <w:kern w:val="2"/>
          <w:lang w:eastAsia="pl-PL"/>
        </w:rPr>
        <w:t>b</w:t>
      </w:r>
      <w:r>
        <w:rPr>
          <w:rFonts w:cs="Calibri" w:ascii="Times New Roman" w:hAnsi="Times New Roman"/>
          <w:b/>
          <w:kern w:val="2"/>
          <w:lang w:eastAsia="pl-PL"/>
        </w:rPr>
        <w:t xml:space="preserve"> do SWZ</w:t>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tab/>
        <w:tab/>
        <w:tab/>
        <w:tab/>
        <w:tab/>
        <w:tab/>
        <w:tab/>
        <w:tab/>
        <w:tab/>
        <w:tab/>
        <w:tab/>
        <w:tab/>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r>
    </w:p>
    <w:p>
      <w:pPr>
        <w:pStyle w:val="Normal"/>
        <w:spacing w:lineRule="auto" w:line="240" w:before="0" w:after="0"/>
        <w:ind w:left="709"/>
        <w:jc w:val="center"/>
        <w:textAlignment w:val="baseline"/>
        <w:rPr>
          <w:rFonts w:ascii="Times New Roman" w:hAnsi="Times New Roman" w:cs="Calibri"/>
          <w:b/>
          <w:kern w:val="2"/>
          <w:lang w:eastAsia="pl-PL"/>
        </w:rPr>
      </w:pPr>
      <w:r>
        <w:rPr>
          <w:rFonts w:cs="Calibri" w:ascii="Times New Roman" w:hAnsi="Times New Roman"/>
          <w:b/>
          <w:kern w:val="2"/>
          <w:lang w:eastAsia="pl-PL"/>
        </w:rPr>
      </w:r>
    </w:p>
    <w:p>
      <w:pPr>
        <w:pStyle w:val="Normal"/>
        <w:widowControl w:val="false"/>
        <w:spacing w:before="0" w:after="0"/>
        <w:ind w:firstLine="703" w:left="3545"/>
        <w:jc w:val="both"/>
        <w:textAlignment w:val="baseline"/>
        <w:rPr>
          <w:rFonts w:ascii="Times New Roman" w:hAnsi="Times New Roman"/>
          <w:b/>
          <w:bCs/>
          <w:color w:val="000000"/>
        </w:rPr>
      </w:pPr>
      <w:r>
        <w:rPr>
          <w:rFonts w:ascii="Times New Roman" w:hAnsi="Times New Roman"/>
          <w:b/>
          <w:bCs/>
          <w:color w:val="000000"/>
        </w:rPr>
        <w:tab/>
        <w:tab/>
        <w:tab/>
        <w:tab/>
        <w:tab/>
        <w:tab/>
        <w:tab/>
        <w:tab/>
        <w:tab/>
        <w:t xml:space="preserve">Samodzielne Publiczne </w:t>
      </w:r>
    </w:p>
    <w:p>
      <w:pPr>
        <w:pStyle w:val="Normal"/>
        <w:widowControl w:val="false"/>
        <w:spacing w:before="0" w:after="0"/>
        <w:ind w:firstLine="703" w:left="3545"/>
        <w:jc w:val="both"/>
        <w:textAlignment w:val="baseline"/>
        <w:rPr>
          <w:rFonts w:ascii="Times New Roman" w:hAnsi="Times New Roman"/>
          <w:b/>
          <w:bCs/>
          <w:color w:val="000000"/>
        </w:rPr>
      </w:pPr>
      <w:r>
        <w:rPr>
          <w:rFonts w:ascii="Times New Roman" w:hAnsi="Times New Roman"/>
          <w:b/>
          <w:bCs/>
          <w:color w:val="000000"/>
        </w:rPr>
        <w:tab/>
        <w:tab/>
        <w:tab/>
        <w:tab/>
        <w:tab/>
        <w:tab/>
        <w:tab/>
        <w:tab/>
        <w:tab/>
        <w:t>Pogotowie Ratunkowe w Krośnie</w:t>
      </w:r>
    </w:p>
    <w:p>
      <w:pPr>
        <w:pStyle w:val="Normal"/>
        <w:widowControl w:val="false"/>
        <w:tabs>
          <w:tab w:val="clear" w:pos="708"/>
          <w:tab w:val="left" w:pos="0" w:leader="none"/>
        </w:tabs>
        <w:spacing w:before="0" w:after="0"/>
        <w:ind w:firstLine="703" w:left="3545"/>
        <w:jc w:val="both"/>
        <w:textAlignment w:val="baseline"/>
        <w:rPr>
          <w:rFonts w:ascii="Times New Roman" w:hAnsi="Times New Roman" w:cs="Calibri"/>
          <w:b/>
          <w:bCs/>
          <w:color w:val="000000"/>
          <w:kern w:val="2"/>
          <w:lang w:eastAsia="pl-PL"/>
        </w:rPr>
      </w:pPr>
      <w:r>
        <w:rPr>
          <w:rFonts w:cs="Calibri" w:ascii="Times New Roman" w:hAnsi="Times New Roman"/>
          <w:b/>
          <w:bCs/>
          <w:color w:val="000000"/>
          <w:kern w:val="2"/>
          <w:lang w:eastAsia="pl-PL"/>
        </w:rPr>
        <w:tab/>
        <w:tab/>
        <w:tab/>
        <w:tab/>
        <w:tab/>
        <w:tab/>
        <w:tab/>
        <w:tab/>
        <w:tab/>
        <w:t>ul. Grodzka 45, 38-400 Krosno</w:t>
      </w:r>
    </w:p>
    <w:p>
      <w:pPr>
        <w:pStyle w:val="Normal"/>
        <w:spacing w:lineRule="auto" w:line="240" w:before="0" w:after="0"/>
        <w:ind w:hanging="709" w:left="709"/>
        <w:jc w:val="center"/>
        <w:textAlignment w:val="baseline"/>
        <w:rPr>
          <w:rFonts w:cs="Calibri"/>
          <w:b/>
          <w:kern w:val="2"/>
          <w:lang w:eastAsia="pl-PL"/>
        </w:rPr>
      </w:pPr>
      <w:r>
        <w:rPr>
          <w:rFonts w:cs="Calibri"/>
          <w:b/>
          <w:kern w:val="2"/>
          <w:lang w:eastAsia="pl-PL"/>
        </w:rPr>
      </w:r>
    </w:p>
    <w:p>
      <w:pPr>
        <w:pStyle w:val="Normal"/>
        <w:spacing w:lineRule="auto" w:line="240" w:before="0" w:after="0"/>
        <w:ind w:hanging="709" w:left="709"/>
        <w:jc w:val="center"/>
        <w:textAlignment w:val="baseline"/>
        <w:rPr>
          <w:rFonts w:cs="Calibri"/>
          <w:b/>
          <w:kern w:val="2"/>
          <w:lang w:eastAsia="pl-PL"/>
        </w:rPr>
      </w:pPr>
      <w:r>
        <w:rPr>
          <w:rFonts w:cs="Calibri"/>
          <w:b/>
          <w:kern w:val="2"/>
          <w:lang w:eastAsia="pl-PL"/>
        </w:rPr>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t xml:space="preserve">OPIS PRZEDMIOTU ZAMÓWIENIA </w:t>
      </w:r>
    </w:p>
    <w:p>
      <w:pPr>
        <w:pStyle w:val="Normal"/>
        <w:spacing w:lineRule="auto" w:line="240" w:before="0" w:after="0"/>
        <w:ind w:hanging="709" w:left="709"/>
        <w:jc w:val="center"/>
        <w:textAlignment w:val="baseline"/>
        <w:rPr>
          <w:rFonts w:ascii="Times New Roman" w:hAnsi="Times New Roman" w:cs="Calibri"/>
          <w:b/>
          <w:kern w:val="2"/>
          <w:lang w:eastAsia="pl-PL"/>
        </w:rPr>
      </w:pPr>
      <w:r>
        <w:rPr>
          <w:rFonts w:cs="Calibri" w:ascii="Times New Roman" w:hAnsi="Times New Roman"/>
          <w:b/>
          <w:kern w:val="2"/>
          <w:lang w:eastAsia="pl-PL"/>
        </w:rPr>
        <w:t>(MINIMALNE WYMAGANIA PRZEDMIOTU ZAMÓWIENIA)</w:t>
      </w:r>
    </w:p>
    <w:p>
      <w:pPr>
        <w:pStyle w:val="Normal"/>
        <w:spacing w:lineRule="auto" w:line="240" w:before="0" w:after="0"/>
        <w:ind w:hanging="709" w:left="709"/>
        <w:jc w:val="center"/>
        <w:textAlignment w:val="baseline"/>
        <w:rPr/>
      </w:pPr>
      <w:r>
        <w:rPr>
          <w:rFonts w:cs="Calibri" w:ascii="Times New Roman" w:hAnsi="Times New Roman"/>
          <w:b/>
          <w:kern w:val="2"/>
          <w:lang w:eastAsia="pl-PL"/>
        </w:rPr>
        <w:t>Znak postępowania: SPPR-</w:t>
      </w:r>
      <w:r>
        <w:rPr>
          <w:rFonts w:ascii="Times New Roman" w:hAnsi="Times New Roman"/>
          <w:b/>
          <w:bCs/>
        </w:rPr>
        <w:t>ZP/</w:t>
      </w:r>
      <w:r>
        <w:rPr>
          <w:rFonts w:ascii="Times New Roman" w:hAnsi="Times New Roman"/>
          <w:b/>
          <w:bCs/>
        </w:rPr>
        <w:t>4</w:t>
      </w:r>
      <w:r>
        <w:rPr>
          <w:rFonts w:ascii="Times New Roman" w:hAnsi="Times New Roman"/>
          <w:b/>
          <w:bCs/>
        </w:rPr>
        <w:t>/2026</w:t>
      </w:r>
    </w:p>
    <w:p>
      <w:pPr>
        <w:pStyle w:val="Normal"/>
        <w:spacing w:lineRule="auto" w:line="288" w:before="0" w:after="0"/>
        <w:textAlignment w:val="baseline"/>
        <w:rPr>
          <w:rFonts w:ascii="Times New Roman" w:hAnsi="Times New Roman" w:cs="Calibri"/>
          <w:b/>
          <w:i/>
          <w:i/>
          <w:color w:val="000000"/>
          <w:kern w:val="2"/>
          <w:lang w:eastAsia="pl-PL"/>
        </w:rPr>
      </w:pPr>
      <w:r>
        <w:rPr>
          <w:rFonts w:cs="Calibri" w:ascii="Times New Roman" w:hAnsi="Times New Roman"/>
          <w:b/>
          <w:i/>
          <w:color w:val="000000"/>
          <w:kern w:val="2"/>
          <w:lang w:eastAsia="pl-PL"/>
        </w:rPr>
      </w:r>
    </w:p>
    <w:p>
      <w:pPr>
        <w:pStyle w:val="Normal"/>
        <w:numPr>
          <w:ilvl w:val="0"/>
          <w:numId w:val="1"/>
        </w:numPr>
        <w:jc w:val="both"/>
        <w:rPr/>
      </w:pPr>
      <w:r>
        <w:rPr>
          <w:rFonts w:cs="Calibri" w:ascii="Times New Roman" w:hAnsi="Times New Roman"/>
          <w:color w:val="000000"/>
          <w:kern w:val="2"/>
          <w:lang w:eastAsia="pl-PL"/>
        </w:rPr>
        <w:t xml:space="preserve">Zamawiający wymaga by oferowane pojazdy były fabrycznie nowe, nieeksploatowane, z roku produkcji min. </w:t>
      </w:r>
      <w:r>
        <w:rPr>
          <w:rFonts w:cs="Calibri" w:ascii="Times New Roman" w:hAnsi="Times New Roman"/>
          <w:color w:val="000000"/>
          <w:kern w:val="2"/>
          <w:shd w:fill="auto" w:val="clear"/>
          <w:lang w:eastAsia="pl-PL"/>
        </w:rPr>
        <w:t>2025</w:t>
      </w:r>
    </w:p>
    <w:p>
      <w:pPr>
        <w:pStyle w:val="Normal"/>
        <w:numPr>
          <w:ilvl w:val="0"/>
          <w:numId w:val="1"/>
        </w:numPr>
        <w:jc w:val="both"/>
        <w:rPr>
          <w:rFonts w:ascii="Times New Roman" w:hAnsi="Times New Roman"/>
        </w:rPr>
      </w:pPr>
      <w:r>
        <w:rPr>
          <w:rFonts w:cs="Calibri" w:ascii="Times New Roman" w:hAnsi="Times New Roman"/>
          <w:color w:val="000000"/>
          <w:kern w:val="2"/>
          <w:lang w:eastAsia="pl-PL"/>
        </w:rPr>
        <w:t>Oferowane ambulanse muszą spełniać:</w:t>
      </w:r>
    </w:p>
    <w:p>
      <w:pPr>
        <w:pStyle w:val="Normal"/>
        <w:ind w:left="720"/>
        <w:jc w:val="both"/>
        <w:rPr>
          <w:rFonts w:ascii="Times New Roman" w:hAnsi="Times New Roman"/>
        </w:rPr>
      </w:pPr>
      <w:r>
        <w:rPr>
          <w:rFonts w:cs="Calibri" w:ascii="Times New Roman" w:hAnsi="Times New Roman"/>
          <w:color w:val="000000"/>
          <w:kern w:val="2"/>
          <w:lang w:eastAsia="pl-PL"/>
        </w:rPr>
        <w:t>a) wymagania zapisane w tabeli nr 1 (poniżej)</w:t>
      </w:r>
    </w:p>
    <w:p>
      <w:pPr>
        <w:pStyle w:val="Normal"/>
        <w:ind w:left="720"/>
        <w:jc w:val="both"/>
        <w:rPr>
          <w:rFonts w:ascii="Times New Roman" w:hAnsi="Times New Roman"/>
        </w:rPr>
      </w:pPr>
      <w:r>
        <w:rPr>
          <w:rFonts w:cs="Calibri" w:ascii="Times New Roman" w:hAnsi="Times New Roman"/>
          <w:color w:val="000000"/>
          <w:kern w:val="2"/>
          <w:lang w:eastAsia="pl-PL"/>
        </w:rPr>
        <w:t>b) wymagania określone w zharmonizowanej polskiej normie PN-EN 1789 lub równoważnej (typ ambulansu C) w zakresie odpowiednim do przedmiotu (zakresu) prowadzonego postępowania</w:t>
      </w:r>
    </w:p>
    <w:p>
      <w:pPr>
        <w:pStyle w:val="Normal"/>
        <w:ind w:left="720"/>
        <w:jc w:val="both"/>
        <w:rPr>
          <w:rFonts w:ascii="Times New Roman" w:hAnsi="Times New Roman"/>
        </w:rPr>
      </w:pPr>
      <w:r>
        <w:rPr>
          <w:rFonts w:cs="Calibri" w:ascii="Times New Roman" w:hAnsi="Times New Roman"/>
          <w:color w:val="000000"/>
          <w:kern w:val="2"/>
          <w:lang w:eastAsia="pl-PL"/>
        </w:rPr>
        <w:t xml:space="preserve">c) </w:t>
      </w:r>
      <w:r>
        <w:rPr>
          <w:rFonts w:cs="Arial" w:ascii="Times New Roman" w:hAnsi="Times New Roman"/>
          <w:color w:themeColor="dark1" w:val="000000"/>
        </w:rPr>
        <w:t xml:space="preserve">wymagania określone w rozporządzeniu Ministra Infrastruktury z dnia 31 grudnia 2002 r. w sprawie warunków technicznych pojazdów oraz zakresu ich niezbędnego wyposażenia, </w:t>
      </w:r>
    </w:p>
    <w:p>
      <w:pPr>
        <w:pStyle w:val="Normal"/>
        <w:ind w:left="720"/>
        <w:jc w:val="both"/>
        <w:rPr>
          <w:rFonts w:ascii="Times New Roman" w:hAnsi="Times New Roman"/>
        </w:rPr>
      </w:pPr>
      <w:r>
        <w:rPr>
          <w:rFonts w:cs="Arial" w:ascii="Times New Roman" w:hAnsi="Times New Roman"/>
          <w:bCs/>
          <w:color w:themeColor="dark1" w:val="000000"/>
          <w:lang w:eastAsia="pl-PL"/>
        </w:rPr>
        <w:t>d) wymagania określone w Rozporządzeniu Ministra Zdrowia z dnia 03.01.2023 r. w sprawie oznaczenia systemu państwowe Ratownictwo Medyczne oraz wymagań w zakresie umundurowania członków zespołów ratownictwa medycznego</w:t>
      </w:r>
    </w:p>
    <w:p>
      <w:pPr>
        <w:pStyle w:val="Normal"/>
        <w:ind w:left="720"/>
        <w:jc w:val="both"/>
        <w:rPr>
          <w:rFonts w:ascii="Times New Roman" w:hAnsi="Times New Roman"/>
        </w:rPr>
      </w:pPr>
      <w:r>
        <w:rPr>
          <w:rFonts w:cs="Arial" w:ascii="Times New Roman" w:hAnsi="Times New Roman"/>
          <w:bCs/>
          <w:color w:themeColor="dark1" w:val="000000"/>
          <w:lang w:eastAsia="pl-PL"/>
        </w:rPr>
        <w:t>e) inne wymogi określone przez Zamawiającego</w:t>
      </w:r>
      <w:r>
        <w:rPr>
          <w:rFonts w:cs="Arial" w:ascii="Times New Roman" w:hAnsi="Times New Roman"/>
          <w:color w:themeColor="dark1" w:val="000000"/>
        </w:rPr>
        <w:t>.</w:t>
      </w:r>
    </w:p>
    <w:p>
      <w:pPr>
        <w:pStyle w:val="Normal"/>
        <w:numPr>
          <w:ilvl w:val="0"/>
          <w:numId w:val="1"/>
        </w:numPr>
        <w:jc w:val="both"/>
        <w:rPr>
          <w:rFonts w:ascii="Times New Roman" w:hAnsi="Times New Roman"/>
        </w:rPr>
      </w:pPr>
      <w:r>
        <w:rPr>
          <w:rFonts w:ascii="Times New Roman" w:hAnsi="Times New Roman"/>
          <w:color w:themeColor="dark1" w:val="000000"/>
        </w:rPr>
        <w:t>Ambulanse muszą posiadać świadectwo homologacji pojazdu skompletowanego (samochód bazowy wraz z zabudową medyczną) wydane zgodnie z Rozporządzeniem Ministra Transportu, Budownictwa i Gospodarki Morskiej z dnia 25 marca 2013 r. w sprawie homologacji typu pojazdów samochodowych i przyczep oraz ich przedmiotów wyposażenia lub części. Homologacja oferowanych ambulansów musi umożliwiać rejestrację w Polsce.</w:t>
      </w:r>
    </w:p>
    <w:p>
      <w:pPr>
        <w:pStyle w:val="Normal"/>
        <w:numPr>
          <w:ilvl w:val="0"/>
          <w:numId w:val="1"/>
        </w:numPr>
        <w:jc w:val="both"/>
        <w:rPr>
          <w:rFonts w:ascii="Times New Roman" w:hAnsi="Times New Roman"/>
        </w:rPr>
      </w:pPr>
      <w:r>
        <w:rPr>
          <w:rFonts w:ascii="Times New Roman" w:hAnsi="Times New Roman"/>
          <w:color w:themeColor="dark1" w:val="000000"/>
        </w:rPr>
        <w:t>D</w:t>
      </w:r>
      <w:r>
        <w:rPr>
          <w:rFonts w:ascii="Times New Roman" w:hAnsi="Times New Roman"/>
          <w:iCs/>
          <w:color w:themeColor="dark1" w:val="000000"/>
        </w:rPr>
        <w:t>ostarczone wraz z ambulansem wyposażenie i sprzęt medyczny musi posiadać dokumenty potwierdzające do obrotu i używania w Polsce oraz być zgodne i spełniać wymagania określone przepisami ustawy z dnia 7 kwietnia 2022 r. o wyrobach medycznych.</w:t>
      </w:r>
    </w:p>
    <w:p>
      <w:pPr>
        <w:pStyle w:val="Normal"/>
        <w:numPr>
          <w:ilvl w:val="0"/>
          <w:numId w:val="1"/>
        </w:numPr>
        <w:jc w:val="both"/>
        <w:rPr>
          <w:rFonts w:ascii="Times New Roman" w:hAnsi="Times New Roman"/>
        </w:rPr>
      </w:pPr>
      <w:r>
        <w:rPr>
          <w:rFonts w:ascii="Times New Roman" w:hAnsi="Times New Roman"/>
          <w:color w:themeColor="dark1" w:val="000000"/>
        </w:rPr>
        <w:t>Oferowane ambulanse muszą posiadać fabrycznie nowe wyposażenie, wolne od wad, objęte gwarancją producenta pojazdu, spełniające wymagania ustawy z dnia 20 czerwca 1997 r. Prawo o ruchu drogowym.</w:t>
      </w:r>
    </w:p>
    <w:p>
      <w:pPr>
        <w:pStyle w:val="Normal"/>
        <w:numPr>
          <w:ilvl w:val="0"/>
          <w:numId w:val="1"/>
        </w:numPr>
        <w:jc w:val="both"/>
        <w:rPr>
          <w:rFonts w:ascii="Times New Roman" w:hAnsi="Times New Roman"/>
        </w:rPr>
      </w:pPr>
      <w:r>
        <w:rPr>
          <w:rFonts w:cs="Calibri" w:ascii="Times New Roman" w:hAnsi="Times New Roman"/>
          <w:color w:themeColor="dark1" w:val="000000"/>
          <w:kern w:val="2"/>
          <w:lang w:eastAsia="pl-PL"/>
        </w:rPr>
        <w:t>Wykonawca musi zapewnić w okresie min. 5 lat od daty przekazania ambulansów Zamawiającemu dostępność wszystkich elementów sprzętowych zabudowy specjalistycznej, takich samych jak zamontowane pierwotnie lub innych równoważnych; całkowicie kompatybilnych zarówno pod względem mechanicznym, jak również elektrycznym i elektronicznym, aby możliwa była naprawa lub wymiana zepsutego lub uszkodzonego osprzętu, bez potrzeby jakichkolwiek przeróbek lub modernizacji w pojeździe.</w:t>
      </w:r>
    </w:p>
    <w:p>
      <w:pPr>
        <w:pStyle w:val="Normal"/>
        <w:numPr>
          <w:ilvl w:val="0"/>
          <w:numId w:val="1"/>
        </w:numPr>
        <w:jc w:val="both"/>
        <w:rPr>
          <w:rFonts w:ascii="Times New Roman" w:hAnsi="Times New Roman"/>
        </w:rPr>
      </w:pPr>
      <w:r>
        <w:rPr>
          <w:rFonts w:cs="Calibri" w:ascii="Times New Roman" w:hAnsi="Times New Roman"/>
          <w:color w:val="000000"/>
          <w:kern w:val="2"/>
          <w:lang w:eastAsia="pl-PL"/>
        </w:rPr>
        <w:t>Ambulanse muszą posiadać certyfikat/raport potwierdzający pozytywnie przeprowadzone badania wytrzymałościowe (kompleksowe testy zderzeniowe całego ambulansu) wykonane przez jednostkę notyfikowaną zgodnie z normą PN-EN 1789 lub równoważną. Dokument ma potwierdzać, iż badaniom podlegał ambulans w oferowanej konfiguracji zabudowy specjalnej na oferowanej marce i modelu pojazdu.</w:t>
      </w:r>
    </w:p>
    <w:p>
      <w:pPr>
        <w:pStyle w:val="Normal"/>
        <w:rPr>
          <w:rFonts w:ascii="Times New Roman" w:hAnsi="Times New Roman"/>
        </w:rPr>
      </w:pPr>
      <w:r>
        <w:rPr>
          <w:rFonts w:cs="Calibri" w:ascii="Times New Roman" w:hAnsi="Times New Roman"/>
          <w:color w:val="000000"/>
          <w:kern w:val="2"/>
          <w:lang w:eastAsia="pl-PL"/>
        </w:rPr>
        <w:t>Podać datę wystawienia certyfikatu, numer sprawozdania oraz nazwę jednostki, która przeprowadziła badania (testy zderzeniowe): …………………………...</w:t>
      </w:r>
    </w:p>
    <w:p>
      <w:pPr>
        <w:pStyle w:val="Normal"/>
        <w:rPr>
          <w:rFonts w:ascii="Times New Roman" w:hAnsi="Times New Roman" w:cs="Calibri"/>
          <w:color w:val="000000"/>
          <w:kern w:val="2"/>
          <w:lang w:eastAsia="pl-PL"/>
        </w:rPr>
      </w:pPr>
      <w:r>
        <w:rPr>
          <w:rFonts w:cs="Calibri" w:ascii="Times New Roman" w:hAnsi="Times New Roman"/>
          <w:color w:val="000000"/>
          <w:kern w:val="2"/>
          <w:lang w:eastAsia="pl-PL"/>
        </w:rPr>
        <w:t>………………………………………………………………………………………………………………………………………………………………………</w:t>
      </w:r>
      <w:r>
        <w:rPr>
          <w:rFonts w:cs="Calibri" w:ascii="Times New Roman" w:hAnsi="Times New Roman"/>
          <w:color w:val="000000"/>
          <w:kern w:val="2"/>
          <w:lang w:eastAsia="pl-PL"/>
        </w:rPr>
        <w:t>..Tabela 1</w:t>
      </w:r>
    </w:p>
    <w:tbl>
      <w:tblPr>
        <w:tblW w:w="14014" w:type="dxa"/>
        <w:jc w:val="left"/>
        <w:tblInd w:w="7" w:type="dxa"/>
        <w:tblLayout w:type="fixed"/>
        <w:tblCellMar>
          <w:top w:w="0" w:type="dxa"/>
          <w:left w:w="10" w:type="dxa"/>
          <w:bottom w:w="0" w:type="dxa"/>
          <w:right w:w="10" w:type="dxa"/>
        </w:tblCellMar>
      </w:tblPr>
      <w:tblGrid>
        <w:gridCol w:w="577"/>
        <w:gridCol w:w="5778"/>
        <w:gridCol w:w="1540"/>
        <w:gridCol w:w="2660"/>
        <w:gridCol w:w="2975"/>
        <w:gridCol w:w="483"/>
      </w:tblGrid>
      <w:tr>
        <w:trPr>
          <w:trHeight w:val="634" w:hRule="atLeast"/>
        </w:trPr>
        <w:tc>
          <w:tcPr>
            <w:tcW w:w="577" w:type="dxa"/>
            <w:tcBorders>
              <w:top w:val="single" w:sz="4" w:space="0" w:color="000000"/>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b/>
                <w:bCs/>
                <w:sz w:val="20"/>
                <w:szCs w:val="20"/>
              </w:rPr>
            </w:pPr>
            <w:r>
              <w:rPr>
                <w:rFonts w:ascii="Times New Roman" w:hAnsi="Times New Roman"/>
                <w:b/>
                <w:bCs/>
                <w:sz w:val="20"/>
                <w:szCs w:val="20"/>
              </w:rPr>
              <w:t>Lp.</w:t>
            </w:r>
          </w:p>
        </w:tc>
        <w:tc>
          <w:tcPr>
            <w:tcW w:w="5778" w:type="dxa"/>
            <w:tcBorders>
              <w:top w:val="single" w:sz="4" w:space="0" w:color="000000"/>
              <w:left w:val="single" w:sz="4" w:space="0" w:color="000000"/>
              <w:bottom w:val="single" w:sz="4" w:space="0" w:color="000000"/>
              <w:right w:val="single" w:sz="4" w:space="0" w:color="000000"/>
            </w:tcBorders>
            <w:shd w:fill="FFFFFF" w:val="clear"/>
            <w:vAlign w:val="center"/>
          </w:tcPr>
          <w:p>
            <w:pPr>
              <w:pStyle w:val="Zawartotabeli"/>
              <w:spacing w:before="0" w:after="0"/>
              <w:jc w:val="center"/>
              <w:rPr>
                <w:rFonts w:ascii="Times New Roman" w:hAnsi="Times New Roman"/>
                <w:b/>
                <w:bCs/>
                <w:color w:val="000000"/>
                <w:sz w:val="20"/>
                <w:szCs w:val="20"/>
                <w:lang w:eastAsia="ar-SA"/>
              </w:rPr>
            </w:pPr>
            <w:r>
              <w:rPr>
                <w:rFonts w:ascii="Times New Roman" w:hAnsi="Times New Roman"/>
                <w:b/>
                <w:bCs/>
                <w:color w:val="000000"/>
                <w:sz w:val="20"/>
                <w:szCs w:val="20"/>
                <w:lang w:eastAsia="ar-SA"/>
              </w:rPr>
              <w:t>Ambulans sanitarny typu C z zabudową medyczną, noszami i sprzętem medycznym</w:t>
            </w:r>
          </w:p>
        </w:tc>
        <w:tc>
          <w:tcPr>
            <w:tcW w:w="1540" w:type="dxa"/>
            <w:tcBorders>
              <w:top w:val="single" w:sz="4" w:space="0" w:color="000000"/>
              <w:left w:val="single" w:sz="4" w:space="0" w:color="000000"/>
              <w:bottom w:val="single" w:sz="4" w:space="0" w:color="000000"/>
              <w:right w:val="single" w:sz="4" w:space="0" w:color="000000"/>
            </w:tcBorders>
            <w:shd w:fill="FFFFFF" w:val="clear"/>
            <w:vAlign w:val="center"/>
          </w:tcPr>
          <w:p>
            <w:pPr>
              <w:pStyle w:val="Zawartotabeli"/>
              <w:spacing w:before="0" w:after="0"/>
              <w:jc w:val="center"/>
              <w:rPr/>
            </w:pPr>
            <w:r>
              <w:rPr>
                <w:rFonts w:ascii="Times New Roman" w:hAnsi="Times New Roman"/>
                <w:b/>
                <w:bCs/>
                <w:color w:val="000000"/>
                <w:sz w:val="20"/>
                <w:szCs w:val="20"/>
              </w:rPr>
              <w:t xml:space="preserve">Rok produkcji </w:t>
            </w:r>
            <w:r>
              <w:rPr>
                <w:rFonts w:ascii="Times New Roman" w:hAnsi="Times New Roman"/>
                <w:color w:val="000000"/>
                <w:sz w:val="20"/>
                <w:szCs w:val="20"/>
                <w:shd w:fill="auto" w:val="clear"/>
              </w:rPr>
              <w:t>(min. 2025)</w:t>
            </w:r>
          </w:p>
        </w:tc>
        <w:tc>
          <w:tcPr>
            <w:tcW w:w="2660" w:type="dxa"/>
            <w:tcBorders>
              <w:top w:val="single" w:sz="4" w:space="0" w:color="000000"/>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b/>
                <w:bCs/>
                <w:color w:val="000000"/>
                <w:sz w:val="20"/>
                <w:szCs w:val="20"/>
              </w:rPr>
            </w:pPr>
            <w:r>
              <w:rPr>
                <w:rFonts w:ascii="Times New Roman" w:hAnsi="Times New Roman"/>
                <w:b/>
                <w:bCs/>
                <w:color w:val="000000"/>
                <w:sz w:val="20"/>
                <w:szCs w:val="20"/>
              </w:rPr>
              <w:t>Marka, model, typ, oznaczenie handlowe</w:t>
            </w:r>
          </w:p>
        </w:tc>
        <w:tc>
          <w:tcPr>
            <w:tcW w:w="2975" w:type="dxa"/>
            <w:tcBorders>
              <w:top w:val="single" w:sz="4" w:space="0" w:color="000000"/>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b/>
                <w:bCs/>
                <w:color w:val="000000"/>
                <w:sz w:val="20"/>
                <w:szCs w:val="20"/>
              </w:rPr>
            </w:pPr>
            <w:r>
              <w:rPr>
                <w:rFonts w:ascii="Times New Roman" w:hAnsi="Times New Roman"/>
                <w:b/>
                <w:bCs/>
                <w:color w:val="000000"/>
                <w:sz w:val="20"/>
                <w:szCs w:val="20"/>
              </w:rPr>
              <w:t>Nazwa i adres producenta / kraj pochodzenia</w:t>
            </w:r>
          </w:p>
        </w:tc>
        <w:tc>
          <w:tcPr>
            <w:tcW w:w="483" w:type="dxa"/>
            <w:tcBorders>
              <w:top w:val="single" w:sz="4" w:space="0" w:color="000000"/>
              <w:left w:val="single" w:sz="4" w:space="0" w:color="000000"/>
              <w:bottom w:val="single" w:sz="4" w:space="0" w:color="000000"/>
              <w:right w:val="single" w:sz="4" w:space="0" w:color="000000"/>
            </w:tcBorders>
            <w:shd w:fill="FFFFFF" w:val="clear"/>
            <w:vAlign w:val="center"/>
          </w:tcPr>
          <w:p>
            <w:pPr>
              <w:pStyle w:val="Zawartotabeli"/>
              <w:spacing w:before="0" w:after="0"/>
              <w:jc w:val="center"/>
              <w:rPr>
                <w:rFonts w:ascii="Times New Roman" w:hAnsi="Times New Roman"/>
                <w:b/>
                <w:bCs/>
                <w:color w:val="000000"/>
                <w:sz w:val="20"/>
                <w:szCs w:val="20"/>
              </w:rPr>
            </w:pPr>
            <w:r>
              <w:rPr>
                <w:rFonts w:ascii="Times New Roman" w:hAnsi="Times New Roman"/>
                <w:b/>
                <w:bCs/>
                <w:color w:val="000000"/>
                <w:sz w:val="20"/>
                <w:szCs w:val="20"/>
              </w:rPr>
              <w:t>Ilość sztuk</w:t>
            </w:r>
          </w:p>
        </w:tc>
      </w:tr>
      <w:tr>
        <w:trPr>
          <w:trHeight w:val="227" w:hRule="atLeast"/>
        </w:trPr>
        <w:tc>
          <w:tcPr>
            <w:tcW w:w="577" w:type="dxa"/>
            <w:tcBorders>
              <w:top w:val="single" w:sz="4" w:space="0" w:color="000000"/>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sz w:val="20"/>
                <w:szCs w:val="20"/>
              </w:rPr>
            </w:pPr>
            <w:r>
              <w:rPr>
                <w:rFonts w:ascii="Times New Roman" w:hAnsi="Times New Roman"/>
                <w:sz w:val="20"/>
                <w:szCs w:val="20"/>
              </w:rPr>
              <w:t>1</w:t>
            </w:r>
          </w:p>
        </w:tc>
        <w:tc>
          <w:tcPr>
            <w:tcW w:w="5778" w:type="dxa"/>
            <w:tcBorders>
              <w:top w:val="single" w:sz="4" w:space="0" w:color="000000"/>
              <w:left w:val="single" w:sz="4" w:space="0" w:color="000000"/>
              <w:bottom w:val="single" w:sz="4" w:space="0" w:color="000000"/>
              <w:right w:val="single" w:sz="4" w:space="0" w:color="000000"/>
            </w:tcBorders>
            <w:shd w:fill="FFFFFF" w:val="clear"/>
            <w:vAlign w:val="center"/>
          </w:tcPr>
          <w:p>
            <w:pPr>
              <w:pStyle w:val="Zawartotabeli"/>
              <w:spacing w:before="0" w:after="0"/>
              <w:rPr>
                <w:rFonts w:ascii="Times New Roman" w:hAnsi="Times New Roman"/>
                <w:color w:val="000000"/>
                <w:sz w:val="20"/>
                <w:szCs w:val="20"/>
                <w:lang w:eastAsia="ar-SA"/>
              </w:rPr>
            </w:pPr>
            <w:r>
              <w:rPr>
                <w:rFonts w:ascii="Times New Roman" w:hAnsi="Times New Roman"/>
                <w:color w:val="000000"/>
                <w:sz w:val="20"/>
                <w:szCs w:val="20"/>
                <w:lang w:eastAsia="ar-SA"/>
              </w:rPr>
              <w:t>Pojazd kompletny ciężarowy</w:t>
            </w:r>
          </w:p>
        </w:tc>
        <w:tc>
          <w:tcPr>
            <w:tcW w:w="1540"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lang w:eastAsia="ar-SA"/>
              </w:rPr>
            </w:pPr>
            <w:r>
              <w:rPr>
                <w:rFonts w:ascii="Times New Roman" w:hAnsi="Times New Roman"/>
                <w:sz w:val="20"/>
                <w:szCs w:val="20"/>
                <w:lang w:eastAsia="ar-SA"/>
              </w:rPr>
            </w:r>
          </w:p>
        </w:tc>
        <w:tc>
          <w:tcPr>
            <w:tcW w:w="2660" w:type="dxa"/>
            <w:tcBorders>
              <w:top w:val="single" w:sz="4" w:space="0" w:color="000000"/>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2975" w:type="dxa"/>
            <w:tcBorders>
              <w:top w:val="single" w:sz="4" w:space="0" w:color="000000"/>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483"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lang w:eastAsia="ar-SA"/>
              </w:rPr>
            </w:pPr>
            <w:r>
              <w:rPr>
                <w:rFonts w:ascii="Times New Roman" w:hAnsi="Times New Roman"/>
                <w:sz w:val="20"/>
                <w:szCs w:val="20"/>
                <w:lang w:eastAsia="ar-SA"/>
              </w:rPr>
              <w:t>1</w:t>
            </w:r>
          </w:p>
        </w:tc>
      </w:tr>
      <w:tr>
        <w:trPr>
          <w:trHeight w:val="227" w:hRule="atLeast"/>
        </w:trPr>
        <w:tc>
          <w:tcPr>
            <w:tcW w:w="577" w:type="dxa"/>
            <w:tcBorders>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sz w:val="20"/>
                <w:szCs w:val="20"/>
              </w:rPr>
            </w:pPr>
            <w:r>
              <w:rPr>
                <w:rFonts w:ascii="Times New Roman" w:hAnsi="Times New Roman"/>
                <w:sz w:val="20"/>
                <w:szCs w:val="20"/>
              </w:rPr>
              <w:t>2</w:t>
            </w:r>
          </w:p>
        </w:tc>
        <w:tc>
          <w:tcPr>
            <w:tcW w:w="5778" w:type="dxa"/>
            <w:tcBorders>
              <w:left w:val="single" w:sz="4" w:space="0" w:color="000000"/>
              <w:bottom w:val="single" w:sz="4" w:space="0" w:color="000000"/>
              <w:right w:val="single" w:sz="4" w:space="0" w:color="000000"/>
            </w:tcBorders>
            <w:shd w:fill="FFFFFF" w:val="clear"/>
            <w:vAlign w:val="center"/>
          </w:tcPr>
          <w:p>
            <w:pPr>
              <w:pStyle w:val="Zawartotabeli"/>
              <w:spacing w:before="0" w:after="0"/>
              <w:rPr>
                <w:rFonts w:ascii="Times New Roman" w:hAnsi="Times New Roman"/>
                <w:color w:val="000000"/>
                <w:sz w:val="20"/>
                <w:szCs w:val="20"/>
              </w:rPr>
            </w:pPr>
            <w:r>
              <w:rPr>
                <w:rFonts w:ascii="Times New Roman" w:hAnsi="Times New Roman"/>
                <w:color w:val="000000"/>
                <w:sz w:val="20"/>
                <w:szCs w:val="20"/>
              </w:rPr>
              <w:t>Pojazd skompletowany (specjalny sanitarny)</w:t>
            </w:r>
          </w:p>
        </w:tc>
        <w:tc>
          <w:tcPr>
            <w:tcW w:w="1540"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2660" w:type="dxa"/>
            <w:tcBorders>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2975" w:type="dxa"/>
            <w:tcBorders>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483"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1</w:t>
            </w:r>
          </w:p>
        </w:tc>
      </w:tr>
      <w:tr>
        <w:trPr>
          <w:trHeight w:val="227" w:hRule="atLeast"/>
        </w:trPr>
        <w:tc>
          <w:tcPr>
            <w:tcW w:w="577" w:type="dxa"/>
            <w:tcBorders>
              <w:left w:val="single" w:sz="4" w:space="0" w:color="000000"/>
              <w:bottom w:val="single" w:sz="4" w:space="0" w:color="000000"/>
            </w:tcBorders>
            <w:shd w:fill="FFFFFF" w:val="clear"/>
            <w:vAlign w:val="center"/>
          </w:tcPr>
          <w:p>
            <w:pPr>
              <w:pStyle w:val="Zawartotabeli"/>
              <w:spacing w:before="0" w:after="0"/>
              <w:jc w:val="center"/>
              <w:rPr>
                <w:rFonts w:ascii="Times New Roman" w:hAnsi="Times New Roman"/>
                <w:sz w:val="20"/>
                <w:szCs w:val="20"/>
              </w:rPr>
            </w:pPr>
            <w:r>
              <w:rPr>
                <w:rFonts w:ascii="Times New Roman" w:hAnsi="Times New Roman"/>
                <w:sz w:val="20"/>
                <w:szCs w:val="20"/>
              </w:rPr>
              <w:t>3</w:t>
            </w:r>
          </w:p>
        </w:tc>
        <w:tc>
          <w:tcPr>
            <w:tcW w:w="5778" w:type="dxa"/>
            <w:tcBorders>
              <w:left w:val="single" w:sz="4" w:space="0" w:color="000000"/>
              <w:bottom w:val="single" w:sz="4" w:space="0" w:color="000000"/>
              <w:right w:val="single" w:sz="4" w:space="0" w:color="000000"/>
            </w:tcBorders>
            <w:shd w:fill="FFFFFF" w:val="clear"/>
            <w:vAlign w:val="center"/>
          </w:tcPr>
          <w:p>
            <w:pPr>
              <w:pStyle w:val="Zawartotabeli"/>
              <w:spacing w:before="0" w:after="0"/>
              <w:rPr>
                <w:rFonts w:ascii="Times New Roman" w:hAnsi="Times New Roman"/>
                <w:color w:val="000000"/>
                <w:sz w:val="20"/>
                <w:szCs w:val="20"/>
              </w:rPr>
            </w:pPr>
            <w:r>
              <w:rPr>
                <w:rFonts w:ascii="Times New Roman" w:hAnsi="Times New Roman"/>
                <w:color w:val="000000"/>
                <w:sz w:val="20"/>
                <w:szCs w:val="20"/>
              </w:rPr>
              <w:t>Nosze wraz z transporterem</w:t>
            </w:r>
          </w:p>
        </w:tc>
        <w:tc>
          <w:tcPr>
            <w:tcW w:w="1540"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2660" w:type="dxa"/>
            <w:tcBorders>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2975" w:type="dxa"/>
            <w:tcBorders>
              <w:left w:val="single" w:sz="4" w:space="0" w:color="000000"/>
              <w:bottom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r>
          </w:p>
        </w:tc>
        <w:tc>
          <w:tcPr>
            <w:tcW w:w="483" w:type="dxa"/>
            <w:tcBorders>
              <w:left w:val="single" w:sz="4" w:space="0" w:color="000000"/>
              <w:bottom w:val="single" w:sz="4" w:space="0" w:color="000000"/>
              <w:right w:val="single" w:sz="4" w:space="0" w:color="000000"/>
            </w:tcBorders>
            <w:shd w:fill="FFFFFF" w:val="clear"/>
            <w:vAlign w:val="center"/>
          </w:tcPr>
          <w:p>
            <w:pPr>
              <w:pStyle w:val="Normal"/>
              <w:widowControl w:val="false"/>
              <w:spacing w:before="0" w:after="0"/>
              <w:jc w:val="center"/>
              <w:rPr>
                <w:rFonts w:ascii="Times New Roman" w:hAnsi="Times New Roman"/>
                <w:sz w:val="20"/>
                <w:szCs w:val="20"/>
              </w:rPr>
            </w:pPr>
            <w:r>
              <w:rPr>
                <w:rFonts w:ascii="Times New Roman" w:hAnsi="Times New Roman"/>
                <w:sz w:val="20"/>
                <w:szCs w:val="20"/>
              </w:rPr>
              <w:t>1</w:t>
            </w:r>
          </w:p>
        </w:tc>
      </w:tr>
    </w:tbl>
    <w:p>
      <w:pPr>
        <w:pStyle w:val="Normal"/>
        <w:rPr>
          <w:rFonts w:ascii="Times New Roman" w:hAnsi="Times New Roman" w:cs="Calibri"/>
          <w:color w:val="000000"/>
          <w:kern w:val="2"/>
          <w:lang w:eastAsia="pl-PL"/>
        </w:rPr>
      </w:pPr>
      <w:r>
        <w:rPr>
          <w:rFonts w:cs="Calibri" w:ascii="Times New Roman" w:hAnsi="Times New Roman"/>
          <w:color w:val="000000"/>
          <w:kern w:val="2"/>
          <w:lang w:eastAsia="pl-PL"/>
        </w:rPr>
      </w:r>
    </w:p>
    <w:p>
      <w:pPr>
        <w:pStyle w:val="Normal"/>
        <w:rPr>
          <w:rFonts w:ascii="Times New Roman" w:hAnsi="Times New Roman"/>
          <w:sz w:val="20"/>
          <w:szCs w:val="20"/>
          <w:lang w:bidi="fa-IR"/>
        </w:rPr>
      </w:pPr>
      <w:r>
        <w:rPr>
          <w:rFonts w:ascii="Times New Roman" w:hAnsi="Times New Roman"/>
          <w:sz w:val="20"/>
          <w:szCs w:val="20"/>
          <w:lang w:bidi="fa-IR"/>
        </w:rPr>
      </w:r>
      <w:r>
        <w:br w:type="page"/>
      </w:r>
    </w:p>
    <w:tbl>
      <w:tblPr>
        <w:tblW w:w="14018" w:type="dxa"/>
        <w:jc w:val="left"/>
        <w:tblInd w:w="7" w:type="dxa"/>
        <w:tblLayout w:type="fixed"/>
        <w:tblCellMar>
          <w:top w:w="0" w:type="dxa"/>
          <w:left w:w="10" w:type="dxa"/>
          <w:bottom w:w="0" w:type="dxa"/>
          <w:right w:w="10" w:type="dxa"/>
        </w:tblCellMar>
        <w:tblLook w:firstRow="1" w:noVBand="0" w:lastRow="0" w:firstColumn="1" w:lastColumn="0" w:noHBand="0" w:val="00a0"/>
      </w:tblPr>
      <w:tblGrid>
        <w:gridCol w:w="629"/>
        <w:gridCol w:w="9385"/>
        <w:gridCol w:w="4004"/>
      </w:tblGrid>
      <w:tr>
        <w:trPr>
          <w:trHeight w:val="353"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pageBreakBefore/>
              <w:spacing w:before="0" w:after="57"/>
              <w:jc w:val="center"/>
              <w:rPr>
                <w:b/>
                <w:bCs/>
                <w:sz w:val="20"/>
                <w:szCs w:val="20"/>
              </w:rPr>
            </w:pPr>
            <w:r>
              <w:rPr>
                <w:b/>
                <w:bCs/>
                <w:sz w:val="20"/>
                <w:szCs w:val="20"/>
              </w:rPr>
              <w:t>Lp.</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b/>
                <w:bCs/>
                <w:sz w:val="20"/>
                <w:szCs w:val="20"/>
              </w:rPr>
            </w:pPr>
            <w:r>
              <w:rPr>
                <w:b/>
                <w:bCs/>
                <w:sz w:val="20"/>
                <w:szCs w:val="20"/>
              </w:rPr>
              <w:t>Wymagane warunki (parametry) dla samochodu bazowego, zabudowy medycznej</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b/>
                <w:bCs/>
                <w:sz w:val="20"/>
                <w:szCs w:val="20"/>
              </w:rPr>
            </w:pPr>
            <w:r>
              <w:rPr>
                <w:b/>
                <w:bCs/>
                <w:sz w:val="20"/>
                <w:szCs w:val="20"/>
              </w:rPr>
              <w:t>Parametry oferowane**</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4025"/>
              <w:jc w:val="center"/>
              <w:rPr>
                <w:b/>
                <w:bCs/>
                <w:sz w:val="20"/>
                <w:szCs w:val="20"/>
              </w:rPr>
            </w:pPr>
            <w:r>
              <w:rPr>
                <w:b/>
                <w:bCs/>
                <w:sz w:val="20"/>
                <w:szCs w:val="20"/>
              </w:rPr>
              <w:t>NADWOZIE</w:t>
            </w:r>
          </w:p>
        </w:tc>
      </w:tr>
      <w:tr>
        <w:trPr>
          <w:trHeight w:val="268" w:hRule="atLeast"/>
        </w:trPr>
        <w:tc>
          <w:tcPr>
            <w:tcW w:w="629"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Pojazd kompletny (bazowy) typu furgon, powyżej 3,5 t z nadwoziem samonośnym, zabezpieczonym antykorozyjnie, z izolacją termiczną i akustyczną obejmującą ściany oraz sufit, zapobiegającą skraplaniu się pary wodnej.</w:t>
            </w:r>
          </w:p>
          <w:p>
            <w:pPr>
              <w:pStyle w:val="BodyText"/>
              <w:spacing w:before="57" w:after="57"/>
              <w:rPr>
                <w:sz w:val="20"/>
                <w:szCs w:val="20"/>
              </w:rPr>
            </w:pPr>
            <w:r>
              <w:rPr>
                <w:sz w:val="20"/>
                <w:szCs w:val="20"/>
              </w:rPr>
              <w:t>Ściany i sufit w kolorze białym, wykonane z łatwo zmywalnego tworzywa sztucznego, odpornego na środki dezynfekujące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jc w:val="center"/>
              <w:rPr>
                <w:rFonts w:ascii="Times New Roman" w:hAnsi="Times New Roman" w:cs="Calibri"/>
                <w:sz w:val="20"/>
                <w:szCs w:val="20"/>
                <w:lang w:eastAsia="ar-SA"/>
              </w:rPr>
            </w:pPr>
            <w:r>
              <w:rPr>
                <w:rFonts w:cs="Calibri" w:ascii="Times New Roman" w:hAnsi="Times New Roman"/>
                <w:sz w:val="20"/>
                <w:szCs w:val="20"/>
                <w:lang w:eastAsia="ar-SA"/>
              </w:rPr>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Częściowo przeszklony (wszystkie szyby termoizolacyjne) z możliwością ewakuacji pacjenta i personelu przez szybę drzwi tylnych i bocznych. </w:t>
            </w:r>
            <w:r>
              <w:rPr>
                <w:rFonts w:cs="Calibri"/>
                <w:sz w:val="20"/>
                <w:szCs w:val="20"/>
                <w:shd w:fill="auto" w:val="clear"/>
                <w:lang w:eastAsia="ar-SA"/>
              </w:rPr>
              <w:t xml:space="preserve">Elektrycznie ogrzewana szyba przednia. </w:t>
            </w:r>
            <w:r>
              <w:rPr>
                <w:rFonts w:cs="Calibri"/>
                <w:sz w:val="20"/>
                <w:szCs w:val="20"/>
                <w:lang w:eastAsia="ar-SA"/>
              </w:rPr>
              <w:t>Półki nad przednią szybą.</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jc w:val="center"/>
              <w:rPr>
                <w:rFonts w:ascii="Times New Roman" w:hAnsi="Times New Roman" w:cs="Calibri"/>
                <w:sz w:val="20"/>
                <w:szCs w:val="20"/>
                <w:lang w:eastAsia="ar-SA"/>
              </w:rPr>
            </w:pPr>
            <w:r>
              <w:rPr>
                <w:rFonts w:cs="Calibri" w:ascii="Times New Roman" w:hAnsi="Times New Roman"/>
                <w:sz w:val="20"/>
                <w:szCs w:val="20"/>
                <w:lang w:eastAsia="ar-SA"/>
              </w:rPr>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Kabina kierowcy dwuosobowa zapewniająca miejsce pracy kierowcy, fotel kierowcy i pasażera z regulacją w min. 2 płaszczyznach. </w:t>
            </w:r>
            <w:r>
              <w:rPr>
                <w:rFonts w:cs="Calibri"/>
                <w:sz w:val="20"/>
                <w:szCs w:val="20"/>
                <w:shd w:fill="auto" w:val="clear"/>
                <w:lang w:eastAsia="ar-SA"/>
              </w:rPr>
              <w:t>Lampki do czytania dla kierowcy i pasażera. Dodatkowo regulowana lampka na elastycznym ramieniu dla pasażera, zamontowana na pulpicie.</w:t>
            </w:r>
            <w:r>
              <w:rPr>
                <w:rFonts w:cs="Calibri"/>
                <w:sz w:val="20"/>
                <w:szCs w:val="20"/>
                <w:lang w:eastAsia="ar-SA"/>
              </w:rPr>
              <w:t xml:space="preserve"> W kabinie kierowcy zamontowany uchwyt</w:t>
            </w:r>
            <w:r>
              <w:rPr>
                <w:rFonts w:cs="Calibri"/>
                <w:color w:val="000000"/>
                <w:sz w:val="20"/>
                <w:szCs w:val="20"/>
                <w:shd w:fill="auto" w:val="clear"/>
                <w:lang w:eastAsia="ar-SA"/>
              </w:rPr>
              <w:t xml:space="preserve"> </w:t>
            </w:r>
            <w:r>
              <w:rPr>
                <w:rFonts w:cs="Calibri"/>
                <w:sz w:val="20"/>
                <w:szCs w:val="20"/>
                <w:lang w:eastAsia="ar-SA"/>
              </w:rPr>
              <w:t>do tabletu Zebra XSLATE L10 dla systemu SWD mocowane pod kątem 45º (lub możliwość reg. kąta). Anteny aktywne systemu SWD (antena GPS/GSM modułu typ „TELTONIKA” oraz anteny aktywne GPS/GSM tabletu) powinny być zainstalowane na zewnątrz pojazdu i połączone niskostratnym kablem koncentrycznym (H155 lub równoważnym) z modułem GPS/GSM – dach kabiny lub przedziału medycznego. Dostęp do głowic anten powinien być możliwy po demontażu lamp sufitowych przedziału medycznego lub innych elementów jego wyposażenia.</w:t>
              <w:br/>
              <w:t>W kabinie kierowcy zamontowana gaśnica wchodząca w skład podstawowego wyposażenie pojazdu.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jc w:val="center"/>
              <w:rPr>
                <w:rFonts w:ascii="Times New Roman" w:hAnsi="Times New Roman" w:cs="Calibri"/>
                <w:sz w:val="20"/>
                <w:szCs w:val="20"/>
                <w:lang w:eastAsia="ar-SA"/>
              </w:rPr>
            </w:pPr>
            <w:r>
              <w:rPr>
                <w:rFonts w:cs="Calibri" w:ascii="Times New Roman" w:hAnsi="Times New Roman"/>
                <w:sz w:val="20"/>
                <w:szCs w:val="20"/>
                <w:lang w:eastAsia="ar-SA"/>
              </w:rPr>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 komorze silnika złącze rozruchowe (dodatkowy biegun dodatni)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73" w:hRule="atLeast"/>
        </w:trPr>
        <w:tc>
          <w:tcPr>
            <w:tcW w:w="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jc w:val="center"/>
              <w:rPr>
                <w:rFonts w:ascii="Times New Roman" w:hAnsi="Times New Roman" w:cs="Calibri"/>
                <w:sz w:val="20"/>
                <w:szCs w:val="20"/>
                <w:lang w:eastAsia="ar-SA"/>
              </w:rPr>
            </w:pPr>
            <w:r>
              <w:rPr>
                <w:rFonts w:cs="Calibri" w:ascii="Times New Roman" w:hAnsi="Times New Roman"/>
                <w:sz w:val="20"/>
                <w:szCs w:val="20"/>
                <w:lang w:eastAsia="ar-SA"/>
              </w:rPr>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Kolor nadwozia żółty, zgodny z aktualnie obowiązującą normą PN EN 1789 lub równoważną</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Przystosowany do przewozu min. 4 osób w pozycji siedzącej oraz 1 osoby w pozycji leżącej na noszach</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Minimalne wymiary przedziału medycznego w mm (długość x szerokość x wysokość ) 3000 x 1700 x 1800 </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Drzwi tylne przeszklone otwierane na boki do kąta min. 250 stopni, wyposażone w ograniczniki i blokady położenia drzwi oraz światła awaryjne, włączające się automatycznie po otwarciu drzwi.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376"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ar-SA"/>
              </w:rPr>
              <w:t xml:space="preserve">Drzwi boczne prawe </w:t>
            </w:r>
            <w:r>
              <w:rPr>
                <w:kern w:val="2"/>
                <w:sz w:val="20"/>
                <w:szCs w:val="20"/>
              </w:rPr>
              <w:t>przedziału medycznego – przesuwane do tyłu z otwieraną szybą, ze stopniem elektrycznym zewnętrznym automatycznie chowanym przy zamykaniu drzwi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Uchwyt sufitowy dla pasażera w kabinie kierowcy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Zewnętrzne okna przedziału medycznego pokryte w 2/3 wysokości folią półprzeźroczystą</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10"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Przegroda oddzielająca kabinę kierowcy od przedziału medycznego wyposażona w drzwi umożliwiające przejście pomiędzy kabiną kierowcy, a przedziałem medycznym, dolna prowadnica drzwi powinna być zabezpieczona przed zanieczyszczeniami z podłogi ambulansu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Centralny zamek wszystkich drzwi sterowany pilotem (łącznie z drzwiami do zewnętrznego schowka) z alarmem obejmującym wszystkie drzwi pojazdu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Drzwi boczne lewe przesuwane do tyłu, bez szyby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Zewnętrzny schowek za lewymi drzwiami przesuwnymi, umożliwiający mocowanie: 2 szt. butli tlenowych 8 litrów tlenu medyczneg</w:t>
            </w:r>
            <w:r>
              <w:rPr>
                <w:rFonts w:cs="Calibri"/>
                <w:sz w:val="20"/>
                <w:szCs w:val="20"/>
                <w:shd w:fill="auto" w:val="clear"/>
                <w:lang w:eastAsia="ar-SA"/>
              </w:rPr>
              <w:t>o o wysokości całkowitej z głowicą 950 mm oraz średnicy 140 mm,</w:t>
            </w:r>
            <w:r>
              <w:rPr>
                <w:rFonts w:cs="Calibri"/>
                <w:sz w:val="20"/>
                <w:szCs w:val="20"/>
                <w:lang w:eastAsia="ar-SA"/>
              </w:rPr>
              <w:t xml:space="preserve"> krzesełka kardiologicznego z systemem płozowym, noszy podbierakowych, deski ortopedycznej dla dorosłych, deski ortopedycznej dla dzieci - dopuszcza się inne miejsce, materaca próżniowego, kamizelki unieruchamiającej typu KED, min. 3 kasków ochronnych - dopuszcza się inne miejsce, urządzenia do mechanicznego masażu klatki piersiowej(LUCAS), torby z zestawem tlenowym oraz torby opatrunkowej </w:t>
              <w:br/>
              <w:t>z dostępem również z przedziału medycznego, systemów unieruchomiających głowę, miejsce dla pasów do desek, krzesełka i noszy, wyposażenia technicznego (łom, łopata, klin pod koła). Koncepcja zabudowy, liczba i miejsce rozmieszczenia półek do uzgodnienia po podpisaniu umowy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Poduszka powietrzna dla kierowcy i pasażera, dwie poduszki boczne oraz kurtyny powietrzne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Stopień wejściowy tylny zintegrowany ze zderzakiem pokryty wykładziną antypoślizgową</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Elektrycznie otwierane szyby boczne w kabinie kierowcy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Reflektory przednie oraz światła do jazdy dziennej typu LED, włączane automatycznie po uruchomieniu silnika, </w:t>
              <w:br/>
              <w:t>a w chwili włączenia sygnałów świetlno-dźwiękowych przełączane samoczynnie na światła mijania (i odwrotnie)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Przednie reflektory przeciwmgielne z funkcją doświetlenia zakrętów </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Światła boczne pozycyjne zwiększające zauważalność ambulansu w warunkach ograniczonej widoczności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18</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Wsteczne lusterka zewnętrzne elektrycznie podgrzewane i regulowane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19</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Podnośnik samochodowy, pełnowymiarowe koło zapasowe umieszczone poza przedziałem medycznym w miejscu umożliwiającym jego wymianę przez kierowcę ambulansu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20</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Wylot spalin umiejscowiony tak, aby zapobiec możliwości dostawania się ich do przedziału medycznego zwłaszcza przez najczęściej otwierane drzwi boczne prawe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Zbiornik paliwa o pojemności min. 70 l</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Zbiornik AdBlue o pojemności min. 15 l</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Kamera biegu wstecznego z obrazem wyświetlanym w lusterku wstecznym lub monitorze zamontowanym na kokpicie kierowcy. Zaleca się montaż kamery biegu wstecznego wewnątrz ambulansu aby nie była narażona na niekorzystne warunki atmosferyczne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Instalacja elektryczna przedziału medycznego podłączona poprzez dedykowany moduł pojazdu bazowego typu PSM, KFG itp. (technologia CAN bus). Zamawiający wymaga, aby instalacja elektryczna ambulansu podłączona została do instalacji elektrycznej pojazdu bazowego zgodnie z wytycznymi producenta pojazdu.</w:t>
              <w:br/>
              <w:t>Instalacja elektryczna zabudowy medycznej powinna posiadać przycisk umożliwiający reset systemu CAN</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Radio z odtwarzaczem USB lub MP3 z głośnikami w kabinie kierowcy (min. 2 szt.) i przedziale medycznym </w:t>
              <w:br/>
              <w:t>(min. 1 szt.), zasilany z 12 V z eliminacją zakłóceń i anteną dachową ze wzmacniaczem antenowym. Możliwość całkowitego wyciszenia głośników w przedziale medycznym z panelu sterującego. Radio z możliwością bezprzewodowego podłączenia telefonu (Bluetooth)</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rPr>
                <w:sz w:val="20"/>
                <w:szCs w:val="20"/>
              </w:rPr>
            </w:pPr>
            <w:r>
              <w:rPr>
                <w:sz w:val="20"/>
                <w:szCs w:val="20"/>
              </w:rPr>
              <w:t>Kabina kierowcy wyposażona w panel sterujący zamontowany w miejscu widocznym i łatwo dostępnym dla kierowcy:</w:t>
            </w:r>
          </w:p>
          <w:p>
            <w:pPr>
              <w:pStyle w:val="BodyText"/>
              <w:rPr>
                <w:sz w:val="20"/>
                <w:szCs w:val="20"/>
              </w:rPr>
            </w:pPr>
            <w:r>
              <w:rPr>
                <w:sz w:val="20"/>
                <w:szCs w:val="20"/>
              </w:rPr>
              <w:t>- informujący o działaniu reflektorów zewnętrznych</w:t>
            </w:r>
          </w:p>
          <w:p>
            <w:pPr>
              <w:pStyle w:val="BodyText"/>
              <w:widowControl/>
              <w:suppressAutoHyphens w:val="true"/>
              <w:bidi w:val="0"/>
              <w:spacing w:lineRule="auto" w:line="240" w:before="0" w:after="0"/>
              <w:ind w:hanging="113" w:left="113" w:right="-227"/>
              <w:jc w:val="left"/>
              <w:rPr>
                <w:sz w:val="20"/>
                <w:szCs w:val="20"/>
              </w:rPr>
            </w:pPr>
            <w:r>
              <w:rPr>
                <w:sz w:val="20"/>
                <w:szCs w:val="20"/>
              </w:rPr>
              <w:t>- informujący o braku możliwości uruchomienia pojazdu przy podłączenia ambulansu do zewnętrznej sieci zasilającej 230 V AC</w:t>
            </w:r>
          </w:p>
          <w:p>
            <w:pPr>
              <w:pStyle w:val="BodyText"/>
              <w:widowControl/>
              <w:suppressAutoHyphens w:val="true"/>
              <w:bidi w:val="0"/>
              <w:spacing w:lineRule="auto" w:line="240" w:before="0" w:after="0"/>
              <w:ind w:hanging="113" w:left="113" w:right="0"/>
              <w:jc w:val="left"/>
              <w:rPr>
                <w:sz w:val="20"/>
                <w:szCs w:val="20"/>
              </w:rPr>
            </w:pPr>
            <w:r>
              <w:rPr>
                <w:sz w:val="20"/>
                <w:szCs w:val="20"/>
              </w:rPr>
              <w:t>- informujący o braku możliwości uruchomienia ambulansu w przypadku otwartych drzwi między przedziałem medycznym a kabiną kierowcy</w:t>
            </w:r>
          </w:p>
          <w:p>
            <w:pPr>
              <w:pStyle w:val="BodyText"/>
              <w:widowControl/>
              <w:suppressAutoHyphens w:val="true"/>
              <w:bidi w:val="0"/>
              <w:spacing w:lineRule="auto" w:line="240" w:before="0" w:after="0"/>
              <w:ind w:hanging="170" w:left="170" w:right="0"/>
              <w:jc w:val="left"/>
              <w:rPr>
                <w:sz w:val="20"/>
                <w:szCs w:val="20"/>
              </w:rPr>
            </w:pPr>
            <w:r>
              <w:rPr>
                <w:rFonts w:cs="Calibri"/>
                <w:sz w:val="20"/>
                <w:szCs w:val="20"/>
                <w:lang w:eastAsia="ar-SA"/>
              </w:rPr>
              <w:t>- informujący o poziomie naładowania akumulatora samochodu bazowego i akumulatora dodatkowego zasilającego przedział medyczny</w:t>
            </w:r>
          </w:p>
          <w:p>
            <w:pPr>
              <w:pStyle w:val="BodyText"/>
              <w:rPr>
                <w:sz w:val="20"/>
                <w:szCs w:val="20"/>
              </w:rPr>
            </w:pPr>
            <w:r>
              <w:rPr>
                <w:sz w:val="20"/>
                <w:szCs w:val="20"/>
              </w:rPr>
              <w:t>- sterujący pracą dodatkowych sygnałów dźwiękowych</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Kabina kierowcy posiadająca:</w:t>
              <w:br/>
              <w:t>- wyłącznik dodatkowej elektrycznej grzałki silnika oraz wskaźnik zasilania grzałki napięciem zew. 230 V AC</w:t>
              <w:br/>
              <w:t xml:space="preserve">- </w:t>
            </w:r>
            <w:r>
              <w:rPr>
                <w:rFonts w:cs="Calibri" w:ascii="Liberation Serif" w:hAnsi="Liberation Serif"/>
                <w:kern w:val="2"/>
                <w:sz w:val="20"/>
                <w:szCs w:val="20"/>
                <w:lang w:eastAsia="ar-SA"/>
              </w:rPr>
              <w:t>min</w:t>
            </w:r>
            <w:r>
              <w:rPr>
                <w:rFonts w:cs="Calibri" w:ascii="Liberation Serif" w:hAnsi="Liberation Serif"/>
                <w:kern w:val="2"/>
                <w:sz w:val="20"/>
                <w:szCs w:val="20"/>
                <w:shd w:fill="auto" w:val="clear"/>
                <w:lang w:eastAsia="ar-SA"/>
              </w:rPr>
              <w:t xml:space="preserve">. 4 </w:t>
            </w:r>
            <w:r>
              <w:rPr>
                <w:rFonts w:ascii="Liberation Serif" w:hAnsi="Liberation Serif"/>
                <w:kern w:val="2"/>
                <w:sz w:val="20"/>
                <w:szCs w:val="20"/>
                <w:shd w:fill="auto" w:val="clear"/>
              </w:rPr>
              <w:t>gniazda 12 V (tzw. gniazda zapalniczki)</w:t>
            </w:r>
            <w:r>
              <w:rPr>
                <w:rFonts w:ascii="Liberation Serif" w:hAnsi="Liberation Serif"/>
                <w:kern w:val="2"/>
                <w:sz w:val="20"/>
                <w:szCs w:val="20"/>
              </w:rPr>
              <w:t xml:space="preserve"> i </w:t>
            </w:r>
            <w:r>
              <w:rPr>
                <w:rFonts w:ascii="Liberation Serif" w:hAnsi="Liberation Serif"/>
                <w:kern w:val="2"/>
                <w:sz w:val="20"/>
                <w:szCs w:val="20"/>
                <w:shd w:fill="auto" w:val="clear"/>
              </w:rPr>
              <w:t>dwa gniazda zasilania USB</w:t>
            </w:r>
            <w:r>
              <w:rPr>
                <w:rFonts w:ascii="Liberation Serif" w:hAnsi="Liberation Serif"/>
                <w:kern w:val="2"/>
                <w:sz w:val="20"/>
                <w:szCs w:val="20"/>
                <w:shd w:fill="FFBF00" w:val="clear"/>
              </w:rPr>
              <w:br/>
            </w:r>
            <w:r>
              <w:rPr>
                <w:rFonts w:cs="Calibri"/>
                <w:sz w:val="20"/>
                <w:szCs w:val="20"/>
                <w:lang w:eastAsia="ar-SA"/>
              </w:rPr>
              <w:t>- wyświetlacz komunikatów w technologii LCD lub LED</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464" w:hRule="atLeast"/>
        </w:trPr>
        <w:tc>
          <w:tcPr>
            <w:tcW w:w="629" w:type="dxa"/>
            <w:tcBorders>
              <w:top w:val="single" w:sz="4" w:space="0" w:color="000000"/>
              <w:left w:val="single" w:sz="4" w:space="0" w:color="000000"/>
              <w:bottom w:val="single" w:sz="4" w:space="0" w:color="000000"/>
              <w:right w:val="single" w:sz="4" w:space="0" w:color="000000"/>
            </w:tcBorders>
            <w:vAlign w:val="center"/>
          </w:tcPr>
          <w:p>
            <w:pPr>
              <w:pStyle w:val="BodyText"/>
              <w:spacing w:before="57" w:after="57"/>
              <w:jc w:val="center"/>
              <w:rPr>
                <w:b/>
                <w:bCs/>
                <w:sz w:val="20"/>
                <w:szCs w:val="20"/>
              </w:rPr>
            </w:pPr>
            <w:r>
              <w:rPr>
                <w:b/>
                <w:bCs/>
                <w:sz w:val="20"/>
                <w:szCs w:val="20"/>
              </w:rPr>
              <w:t>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SILNIK I NAPĘD</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Elastyczny, zapewniający przyspieszenie pozwalające na sprawną pracę w ruchu miejskim</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Silnik o pojemności min. 1900 cm³</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Silnik o mocy min. 130 kW</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Moment obrotowy min. 350 Nm</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Norma emisji spalin EURO VI lub EURO 6</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Skrzynia biegów automatyczna lub manualna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Min. 6-biegów do przodu i bieg wsteczny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Napęd na dwie osie 4x4</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highlight w:val="none"/>
                <w:shd w:fill="auto" w:val="clear"/>
              </w:rPr>
            </w:pPr>
            <w:r>
              <w:rPr>
                <w:sz w:val="20"/>
                <w:szCs w:val="20"/>
                <w:shd w:fill="auto" w:val="clear"/>
              </w:rPr>
              <w:t>9</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Urządzenie do podgrzewania silnika ułatwiające uruchamianie silnika w trudnych warunkach zimowych (grzałka w układzie smarowania silnika)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III.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b/>
                <w:bCs/>
                <w:sz w:val="20"/>
                <w:szCs w:val="20"/>
              </w:rPr>
            </w:pPr>
            <w:r>
              <w:rPr>
                <w:b/>
                <w:bCs/>
                <w:sz w:val="20"/>
                <w:szCs w:val="20"/>
              </w:rPr>
              <w:t>UKŁAD HAMULCOWY I SYSTEMY BEZPIECZEŃSTWA</w:t>
            </w:r>
          </w:p>
        </w:tc>
      </w:tr>
      <w:tr>
        <w:trPr>
          <w:trHeight w:val="562"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Układ hamulcowy ze wspomaganiem, wskaźnik zużycia klocków hamulcowych</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 systemem zapobiegającym blokadzie kół podczas hamowania - ABS lub równoważny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Elektroniczny korektor siły hamowania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 systemem wspomagania nagłego (awaryjnego) hamowania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Hamulce tarczowe na obu osiach (przód i tył), przednie i tylne wentylowane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System stabilizacji toru jazdy typu ESP adaptacyjny tzn. uwzględniający obciążenie pojazdu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System zapobiegający poślizgowi kół osi napędzanej przy ruszaniu typu ASR</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System wspomagania ruszania pod górę</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IV.</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12"/>
              <w:jc w:val="center"/>
              <w:rPr>
                <w:b/>
                <w:bCs/>
                <w:sz w:val="20"/>
                <w:szCs w:val="20"/>
              </w:rPr>
            </w:pPr>
            <w:r>
              <w:rPr>
                <w:b/>
                <w:bCs/>
                <w:sz w:val="20"/>
                <w:szCs w:val="20"/>
              </w:rPr>
              <w:t>ZAWIESZENIE</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Fabryczne zawieszenie posiadające wzmocnione drążki stabilizacyjne obu osi. Zawieszenie przednie i tylne wzmocnione, dostosowane do funkcji ambulansu sanitarnego, zapewniające odpowiedni komfort transportu pacjenta, gwarantujące dobrą przyczepność kół do nawierzchni, stabilność i manewrowość w trudnym terenie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V.</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UKŁAD KIEROWNICZY</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Ze wspomaganiem</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Kierownica regulowana w dwóch płaszczyznach niezależnie tzn. góra-dół i przód tył</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VI.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OGRZEWANIE I WENTYLACJA</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Ogrzewanie wewnętrzne postojowe – grzejnik elektryczny z sieci 230 V z możliwością ustawienia temperatury i termostatem, min. moc grzewcza 2000 W. Stycznik zasilania urządzenia grzewczego powinien posiadać obciążalność styków większą od mocy maksymalnej urządzenia grzewczego oraz powinien być zainstalowany w miejscu umożliwiającym jego łatwą wymianę – podać markę i model grzejnika.</w:t>
              <w:br/>
              <w:t>Przekaźnik uruchomiający stycznik powinien posiadać wyprowadzoną na zewnątrz sygnalizację napięcia sterującego stycznikiem załączającym grzejnik</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Mechaniczna wentylacja nawiewno-wywiewna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476"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shd w:fill="auto" w:val="clear"/>
                <w:lang w:eastAsia="ar-SA"/>
              </w:rPr>
              <w:t>Niezależny od silnika system ogrzewania przedziału medycznego (typu powietrznego) z możliwością ustawienia temperatury i termostatem, o mocy min. 5,0 kW umożliwiający ogrzanie przedziału medycznego z funkcją dodatkowego dogrzewania po otwarciu drzwi przedziału medycznego – podać markę i model</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845"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Klimatyzacja dwuparownikowa, oddzielna dla kabiny kierowcy i przedziału medycznego. W przedziale medycznym klimatyzacja automatyczna tj. po ustawieniu żądanej temperatury systemy chłodzące lub grzewcze automatycznie utrzymują żądaną temperaturę w przedziale medycznym</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625"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Dodatkowa nagrzewnica wodna w przedziale medycznym wykorzystująca ciecz chłodzącą silnik, ogrzewanie przedziału medycznego z możliwością ustawienia temperatury i termostatem – podać markę i model</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714"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Czujnik temperatury zewnętrznej ogrzewania ambulansu powinien być zainstalowany w oznakowanym miejscu w sposób umożliwiający jego łatwą wymianę oraz uniemożliwiający jego uszkodzenia mechaniczne w trakcie eksploatacji ambulansu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34"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VII.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INSTALACJA ELEKTRYCZNA I OŚWIETLENIE</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Zespół dwóch akumulatorów o łącznej pojemności min. 180 Ah do zasilania wszystkich odbiorników prądu w pojeździe oraz przedziale medycznym</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Akumulator zasilający przedział medyczny, podłączany za pomocą standardowej klemy z dodatkowym ręcznym rozłącznikiem. Wspomagający układ awaryjnego rozruchu silnika, umożliwiający równoległe połączenie dwóch akumulatorów podczas rozruchu, wykonany na styczniku o dużej obciążalności prądowej</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8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Wzmocniony alternator (min. 220 A) spełniający wymogi obsługi wszystkich odbiorników prądu i jednoczesnego ładowania dwóch akumulatorów w czasie jazdy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785"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Automatyczna mikroprocesorowa ładowarka akumulatorów (zasilana napięciem zewnętrznym 230V AC) ładująca akumulatory. Prąd ładowania powinien być dobierany automatycznie dla każdego z akumulatorów w zależności od jego pojemności, typu, oraz napięcia i poziomu rozładowania.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r>
          </w:p>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Instalacja elektryczna 230 V AC:</w:t>
              <w:br/>
              <w:t>a) zasilanie zewnętrzne 230 V AC jednofazowe</w:t>
              <w:br/>
              <w:t>b) min. 4 gniazda 230 V AC w przedziale medycznym z przeciwporażeniowym stykiem ochronnym</w:t>
              <w:br/>
              <w:t>c) zabezpieczenie uniemożliwiające rozruch silnika przy podłączonym zasilaniu zewnętrznym</w:t>
              <w:br/>
              <w:t>d) różnicowoprądowe zabezpieczenie przeciwporażeniowe dla zasilania zewnętrznego</w:t>
              <w:br/>
              <w:t>e) przewód zasilający min 10m</w:t>
              <w:br/>
              <w:t>f) gniazdo zasilania zewnętrznego w wykonaniu bryzgoszczelnym mocowane na karoserii na dodatkowym demontowalnym chassis</w:t>
              <w:br/>
            </w:r>
            <w:r>
              <w:rPr>
                <w:rFonts w:cs="Calibri"/>
                <w:color w:val="000000"/>
                <w:sz w:val="20"/>
                <w:szCs w:val="20"/>
                <w:lang w:eastAsia="ar-SA"/>
              </w:rPr>
              <w:t>g) czytelnie opisana tablica przeznaczeń bezpieczników i przekaźników, umieszczona w łatwo dostępnym miejscu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Na pojeździe ma być zamontowana wizualna sygnalizacja informująca o podłączeniu ambulansu do sieci 230V</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W kabinie kierowcy w skrzynce obwodów 230 V AC zainstalowany rozłącznik elektrycznej dodatkowej grzałki silnika zasilanej napięciem zewnętrznym 230 V AC i zainstalowany na przewodzie fazowym oraz neutralnym grzałki.</w:t>
              <w:br/>
              <w:t>Instalacja elektryczna 12 V w przedziale medycznym: - min. 4 gniazda 12 V (o obciążalności do 20 A), do podłączenia urządzeń medycznych, - gniazda wyposażone w rozbieralne wtyki.                                                                                                                                                                                                                                                                                                                                                                                                                                                                                                                                                                                                                                                                                                                                                                                                                                                                                                                                                                                                                                                                                                                                                                                                                                                                                                                                                                                                                                                                                     Dodatkowo minimum 3 gniazda zasilania 12 V w przedziale medycznym  w wykonaniu gniazda zapalniczki samochodowej do aparatury medycznej oraz minimum 4 gniazda w kabinie kierowcy w wykonaniu zapalniczki samochodowej oraz 2 gniazda zasilania USB 5V. Gniazdo zasilania tabletu powinno być zasilane niezależnie od wyłączenia zapłonu. Każde gniazdo powinno posiadać swój numer oraz posiadać bezpiecznik z czytelnym opisem numeru gniazda. Gniazdo zapalniczki 12 V zasilania drukarki powinno być umieszczone w pobliżu miejsca instalacji drukarki.</w:t>
            </w:r>
          </w:p>
          <w:p>
            <w:pPr>
              <w:pStyle w:val="BodyText"/>
              <w:spacing w:before="57" w:after="57"/>
              <w:rPr>
                <w:sz w:val="20"/>
                <w:szCs w:val="20"/>
              </w:rPr>
            </w:pPr>
            <w:r>
              <w:rPr>
                <w:rFonts w:cs="Calibri"/>
                <w:sz w:val="20"/>
                <w:szCs w:val="20"/>
                <w:lang w:eastAsia="ar-SA"/>
              </w:rPr>
              <w:t>Nie dopuszcza się instalacji gniazda zapalniczki służącej do zasilania ładowarki radiotelefonu noszonego w podstawach  fotela kierowcy oraz pasażera z uwagi na łatwość uszkodzenia. Gniazdo powinno być zainstalowane na przegrodzie oddzielającej przedział medyczny od kierowcy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63"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Atestowana przetwornica prądu stałego 12 V na zmienny 230 V/50 Hz (sinus) o mocy ciągłej min. 1000 VA.</w:t>
              <w:br/>
              <w:t>W przedziale medycznym 4 oddzielne gniazda 230 V AC zasilane z przetwornicy i służące do zasilania urządzeń medycznych oraz drukarki systemu SWD w czasie jazdy. Dodatkowa mała przetwornica 12 V DC/230 V AC o mocy do 300 W do zasilania drukarki systemu SWD, zainstalowana w pobliżu drukarki.</w:t>
            </w:r>
          </w:p>
          <w:p>
            <w:pPr>
              <w:pStyle w:val="BodyText"/>
              <w:spacing w:before="57" w:after="57"/>
              <w:rPr>
                <w:sz w:val="20"/>
                <w:szCs w:val="20"/>
              </w:rPr>
            </w:pPr>
            <w:r>
              <w:rPr>
                <w:sz w:val="20"/>
                <w:szCs w:val="20"/>
              </w:rPr>
              <w:t>Nie dopuszcza się instalowania dodatkowych przekaźników elektrycznych we wnękach nadwozia oraz przestrzeniach pomiędzy nadwoziem a ścianami przedziału medycznego bez dodatkowej hermetycznej obudowy elektrycznej oraz bez możliwości ich serwisu lub wymiany.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63"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170"/>
              <w:jc w:val="left"/>
              <w:rPr>
                <w:sz w:val="20"/>
                <w:szCs w:val="20"/>
              </w:rPr>
            </w:pPr>
            <w:r>
              <w:rPr>
                <w:rFonts w:cs="Calibri"/>
                <w:sz w:val="20"/>
                <w:szCs w:val="20"/>
                <w:lang w:eastAsia="ar-SA"/>
              </w:rPr>
              <w:t>Oświetlenie charakteryzujące się parametrami nie gorszymi jak poniżej:</w:t>
            </w:r>
          </w:p>
          <w:p>
            <w:pPr>
              <w:pStyle w:val="BodyText"/>
              <w:widowControl/>
              <w:suppressAutoHyphens w:val="true"/>
              <w:bidi w:val="0"/>
              <w:spacing w:lineRule="auto" w:line="240" w:before="57" w:after="57"/>
              <w:ind w:hanging="227" w:left="227" w:right="-170"/>
              <w:jc w:val="left"/>
              <w:rPr>
                <w:sz w:val="20"/>
                <w:szCs w:val="20"/>
              </w:rPr>
            </w:pPr>
            <w:r>
              <w:rPr>
                <w:rFonts w:cs="Calibri"/>
                <w:sz w:val="20"/>
                <w:szCs w:val="20"/>
                <w:lang w:eastAsia="ar-SA"/>
              </w:rPr>
              <w:t>1) światło rozproszone umieszczone po obu stronach górnej części przedziału medycznego min. 6 lamp sufitowych LED, z funkcją regulacji natężenia światła lub wyłączania na czas transportu pacjenta (tzw. oświetlenie nocne)</w:t>
            </w:r>
          </w:p>
          <w:p>
            <w:pPr>
              <w:pStyle w:val="BodyText"/>
              <w:widowControl/>
              <w:suppressAutoHyphens w:val="true"/>
              <w:bidi w:val="0"/>
              <w:spacing w:lineRule="auto" w:line="240" w:before="57" w:after="57"/>
              <w:ind w:hanging="227" w:left="227" w:right="-170"/>
              <w:jc w:val="left"/>
              <w:rPr>
                <w:sz w:val="20"/>
                <w:szCs w:val="20"/>
              </w:rPr>
            </w:pPr>
            <w:r>
              <w:rPr>
                <w:rFonts w:cs="Calibri"/>
                <w:sz w:val="20"/>
                <w:szCs w:val="20"/>
                <w:lang w:eastAsia="ar-SA"/>
              </w:rPr>
              <w:t>2) oświetlenie halogenowe regulowane umieszczone w suficie nad noszami punktowe (min. 2 szt.)</w:t>
            </w:r>
          </w:p>
          <w:p>
            <w:pPr>
              <w:pStyle w:val="BodyText"/>
              <w:widowControl/>
              <w:suppressAutoHyphens w:val="true"/>
              <w:bidi w:val="0"/>
              <w:spacing w:lineRule="auto" w:line="240" w:before="57" w:after="57"/>
              <w:ind w:hanging="227" w:left="227" w:right="-170"/>
              <w:jc w:val="left"/>
              <w:rPr>
                <w:sz w:val="20"/>
                <w:szCs w:val="20"/>
              </w:rPr>
            </w:pPr>
            <w:r>
              <w:rPr>
                <w:rFonts w:cs="Calibri"/>
                <w:sz w:val="20"/>
                <w:szCs w:val="20"/>
                <w:lang w:eastAsia="ar-SA"/>
              </w:rPr>
              <w:t>3) halogen zamontowany nad blatem roboczym</w:t>
            </w:r>
          </w:p>
          <w:p>
            <w:pPr>
              <w:pStyle w:val="BodyText"/>
              <w:widowControl/>
              <w:suppressAutoHyphens w:val="true"/>
              <w:bidi w:val="0"/>
              <w:spacing w:lineRule="auto" w:line="240" w:before="57" w:after="57"/>
              <w:ind w:hanging="227" w:left="227" w:right="-170"/>
              <w:jc w:val="left"/>
              <w:rPr>
                <w:sz w:val="20"/>
                <w:szCs w:val="20"/>
              </w:rPr>
            </w:pPr>
            <w:r>
              <w:rPr>
                <w:rFonts w:cs="Calibri"/>
                <w:sz w:val="20"/>
                <w:szCs w:val="20"/>
                <w:lang w:eastAsia="ar-SA"/>
              </w:rPr>
              <w:t>4) oświetlenie lampami LED schowka medycznego za kabiną kierowcy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563"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Ambulans powinien mieć zainstalowany moduł GPS/GSM systemu SWD PRM, gniazdo do modułu GSM/GPS powinno być zasilane napięciem 12 V DC oraz mieć wyprowadzone sygnały pracy silnika i załączonej sygnalizacji świetlnej. Miejsce instalacji modułu GPS/GSM systemu SWD PRM powinno być łatwo dostępne dla serwisu oraz czytelnie oznaczone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435"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114" w:after="114"/>
              <w:jc w:val="center"/>
              <w:rPr>
                <w:b/>
                <w:bCs/>
                <w:sz w:val="20"/>
                <w:szCs w:val="20"/>
              </w:rPr>
            </w:pPr>
            <w:r>
              <w:rPr>
                <w:b/>
                <w:bCs/>
                <w:sz w:val="20"/>
                <w:szCs w:val="20"/>
              </w:rPr>
              <w:t>VIII.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overflowPunct w:val="false"/>
              <w:bidi w:val="0"/>
              <w:spacing w:lineRule="auto" w:line="240" w:before="57" w:after="57"/>
              <w:ind w:hanging="0" w:left="1644" w:right="4025"/>
              <w:jc w:val="left"/>
              <w:rPr>
                <w:b/>
                <w:bCs/>
                <w:sz w:val="20"/>
                <w:szCs w:val="20"/>
              </w:rPr>
            </w:pPr>
            <w:r>
              <w:rPr>
                <w:b/>
                <w:bCs/>
                <w:sz w:val="20"/>
                <w:szCs w:val="20"/>
              </w:rPr>
              <w:t>SYGNALIZACJA ŚWIETLNO-DŹWIĘKOWA I OZNAKOWANIE</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Sygnalizacja uprzywilejowana zainstalowana na dachu ambulansu w formie belki świetlnej umieszczonej na przedniej części pojazdu nad kabiną kierowcy z modułami LED koloru niebieskiego.</w:t>
              <w:br/>
              <w:t>Nie dopuszcza się sygnalizacji świetlnej typu kogut i belki zintegrowanej z dachem pojazdu (wbudowanej w konstrukcję dachu pojazdu).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 pasie przednim zamontowany głośnik o mocy min. 100 W w wykonaniu bryzgoszczelnym, sygnał dźwiękowy modulowany z możliwością podawania komunikatów głosowych</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Sygnalizacja uprzywilejowana zainstalowana na dachu w tylnej części pojazdu z modułami LED koloru niebieskiego, dodatkowe światła LED robocze do oświetlania przedpola za ambulansem. </w:t>
              <w:br/>
              <w:t>Nie dopuszcza się sygnalizacji świetlnej typu kogut i belki zintegrowanej z dachem pojazdu (wbudowanej w konstrukcję dachu pojazdu).</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Włączanie sygnalizacji dźwiękowo-świetlnej realizowane poprzez przycisk umieszczony w widocznym, łatwo dostępnym miejscu na desce rozdzielczej kierowcy oraz klakson pojazdu. </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Dodatkowe sygnały dźwiękowe pneumatyczne lub elektryczne przeznaczone do pracy ciągłej. Klaksony sygnałów powinny posiadać odpowiednią konstrukcję lub miejsce instalacji, tak aby nie zbierały zanieczyszczeń podczas jazdy.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Światła awaryjne zamontowane na drzwiach tylnych włączające się po otwarciu drzwi widoczne przy otwarciu </w:t>
              <w:br/>
              <w:t>o 90, 180 i 250 stopni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327"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Dwie lampy LED niebieskiej barwy na wysokości pasa przedniego</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Min. po dwa reflektory zewnętrzne LED po bokach pojazdu, do oświetlenia miejsca akcji, z możliwością włączania/wyłączania zarówno z kabiny kierowcy jak i z przedziału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bidi="fa-IR"/>
              </w:rPr>
              <w:t>Nie dopuszcza się instalacji lamp sygnalizacyjnych LED na płaszczyznach nadwozia o profilu krzywym (błotniki, burty) za pomocą wkrętów do blachy ze względu na ich częste uszkodzenia. Lampy powinny być mocowane w technologii klejenia z możliwością ich wymiany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694"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Oznakowanie zewnętrzne pojazdu zgodnie z obowiązującymi przepisami prawa o ruchu drogowym oraz Rozporządzeniem Ministra Zdrowia z dnia 3.01.2023 r. w sprawie oznaczenia systemu Państwowe Ratownictwo Medyczne oraz wymagań w zakresie umundurowania członków zespołów ratownictwa medycznego.</w:t>
              <w:br/>
              <w:t>Oznaczenie symbolem typu „P” lub „S”, logotyp/nazwa Zamawiającego, kryptonim zespołu ratownictwa medycznego oraz informację o współfinansowaniu zakupu – do uzgodnienia po podpisaniu umowy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vAlign w:val="center"/>
          </w:tcPr>
          <w:p>
            <w:pPr>
              <w:pStyle w:val="BodyText"/>
              <w:spacing w:before="57" w:after="57"/>
              <w:jc w:val="center"/>
              <w:rPr>
                <w:b/>
                <w:bCs/>
                <w:sz w:val="20"/>
                <w:szCs w:val="20"/>
              </w:rPr>
            </w:pPr>
            <w:r>
              <w:rPr>
                <w:b/>
                <w:bCs/>
                <w:sz w:val="20"/>
                <w:szCs w:val="20"/>
              </w:rPr>
              <w:t>IX.</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PRZEDZIAŁ MEDYCZNY I JEGO WYPOSAŻENIE</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zh-CN" w:bidi="hi-IN"/>
              </w:rPr>
              <w:t xml:space="preserve">Na ścianie lewej przedziału medycznego zainstalowane prowadnice szynowe przystosowane do zamocowania  urządzeń medycznych na płytach montażowych wykonanych z blachy aluminiowej o grubości minimum 4 mm. Płyty montowane na szynowych prowadnicach muszą mieć możliwość łatwego demontażu oraz rozmieszczenia wyposażenia wg. uznania Zamawiającego. Długość prowadnic szynowych powinna pozwalać na możliwość instalacji następujących urządzeń medycznych: respirator, defibrylator, pompa strzykawkowa, ładowarka akumulatorów defibrylatora. Zamawiający </w:t>
            </w:r>
            <w:r>
              <w:rPr>
                <w:rFonts w:cs="Calibri"/>
                <w:color w:val="000000"/>
                <w:kern w:val="2"/>
                <w:sz w:val="20"/>
                <w:szCs w:val="20"/>
                <w:shd w:fill="auto" w:val="clear"/>
                <w:lang w:eastAsia="zh-CN" w:bidi="hi-IN"/>
              </w:rPr>
              <w:t>wymaga</w:t>
            </w:r>
            <w:r>
              <w:rPr>
                <w:rFonts w:cs="Calibri"/>
                <w:kern w:val="2"/>
                <w:sz w:val="20"/>
                <w:szCs w:val="20"/>
                <w:lang w:eastAsia="zh-CN" w:bidi="hi-IN"/>
              </w:rPr>
              <w:t xml:space="preserve"> montażu dodatkowej prowadnicy szynowej pod prowadnicą główną. Zamawiający nie dopuszcza mocowania na stałe uchwytów do w/w sprzętu medycznego bezpośrednio do ściany przedziału medycznego </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zh-CN" w:bidi="hi-IN"/>
              </w:rPr>
              <w:t>Na prawej ścianie min. 1 fotel obrotowy ze zintegrowanym zagłówkiem (Zamawiający dopuszcza zagłówki regulowane), fotel/fotele wyposażone w bezwładnościowe, trzypunktowe pasy bezpieczeństwa, z regulowanym oparciem pod plecami (regulowany kąt oparcia). Wszystkie fotele wykonane z materiału łatwo zmywalnego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zh-CN" w:bidi="hi-IN"/>
              </w:rPr>
              <w:t>Przy ścianie działowej u wezgłowia noszy przesuwany fotel obrotowy umożliwiający jazdę tyłem do kierunku jazdy, ze składanym do pionu siedziskiem, zagłówkiem (regulowanym lub zintegrowanym), bezwładnościowym pasem bezpieczeństwa oraz regulowanym oparciem (regulowany kąt oparcia). Fotel musi posiadać możliwość zablokowania w wybranej pozycji. Zakres regulacji fotela musi umożliwić wykonanie medycznych czynności przy pacjencie oraz swobodny dostęp do schowków na lewej stronie przedziału medycznego. Przesuw i obrót fotela u wezgłowia noszy dostępny przez osobę siedzącą na fotelu w każdym momencie eksploatacji, również podczas jazdy ambulansu, przy zapiętych bezwładnościowych  pasach bezpieczeństwa. Fotel wraz z systemem przebadany na zgodność z REG 14 dla typu pojazdu w odniesieniu do kotwiczeń pasa bezpieczeństwa i REG 17 dla typu pojazdu w odniesieniu do wytrzymałości siedzeń i ich mocowań. Typ pojazdu - oznacza oferowana marka i model pojazdu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zh-CN" w:bidi="hi-IN"/>
              </w:rPr>
              <w:t>Częściowo przeszklona ścianka działowa oddzielająca kabinę kierowcy od przedziału medycznego, wyposażona w drzwi przesuwne z otwieranym oknem lub z oknem stałym z otworami, umożliwiające swobodne poruszanie się pomiędzy pomieszczeniem medycznym a kabiną kierowcy. Konstrukcja i działanie drzwi zgodne z wymogami normy PN EN 1789 lub równoważnej</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Zabudowa meblowa umożliwiająca umieszczenie w niej sprzętu i wyposażenia wyszczególnionego w aktualnej normie PN EN 1789 lub równoważnej dla ambulansu typu C. Szuflady wyposażone w organizery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Na ścianie lewej szyna wraz z czterema panelami do mocowania uchwytów dla następującego sprzętu medycznego: defibrylatora, respiratora, pompy infuzyjnej, ładowarki akumulatorów defibrylatora. Panele mają mieć możliwość przesuwania wzdłuż osi pojazdu tj. możliwość rozmieszczenia w/w sprzętu medycznego wg uznania. Zamawiający nie dopuszcza mocowania na stałe uchwytów do w/w sprzętu medycznego bezpośrednio do ściany przedziału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kern w:val="2"/>
                <w:sz w:val="20"/>
                <w:szCs w:val="20"/>
                <w:lang w:eastAsia="zh-CN" w:bidi="hi-IN"/>
              </w:rPr>
              <w:t xml:space="preserve">Ogrzewacz płynów infuzyjnych z termostatem i możliwością płynnej regulacji temperatury na postoju i w czasie jazdy w zakresie 30-37 </w:t>
            </w:r>
            <w:r>
              <w:rPr>
                <w:rFonts w:eastAsia="Calibri" w:cs="Calibri"/>
                <w:kern w:val="2"/>
                <w:sz w:val="20"/>
                <w:szCs w:val="20"/>
                <w:lang w:eastAsia="zh-CN" w:bidi="hi-IN"/>
              </w:rPr>
              <w:t>ºC</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 przedziale medycznym zamontowany panel sterujący spełniający min. następujące funkcje:</w:t>
            </w:r>
          </w:p>
          <w:p>
            <w:pPr>
              <w:pStyle w:val="BodyText"/>
              <w:rPr>
                <w:sz w:val="20"/>
                <w:szCs w:val="20"/>
              </w:rPr>
            </w:pPr>
            <w:r>
              <w:rPr>
                <w:sz w:val="20"/>
                <w:szCs w:val="20"/>
              </w:rPr>
              <w:t>- zegara i kalendarza,</w:t>
            </w:r>
          </w:p>
          <w:p>
            <w:pPr>
              <w:pStyle w:val="BodyText"/>
              <w:rPr>
                <w:sz w:val="20"/>
                <w:szCs w:val="20"/>
              </w:rPr>
            </w:pPr>
            <w:r>
              <w:rPr>
                <w:sz w:val="20"/>
                <w:szCs w:val="20"/>
              </w:rPr>
              <w:t>- sterowanie oświetleniem wewnętrznym przedziału medycznego,</w:t>
            </w:r>
          </w:p>
          <w:p>
            <w:pPr>
              <w:pStyle w:val="BodyText"/>
              <w:rPr>
                <w:sz w:val="20"/>
                <w:szCs w:val="20"/>
              </w:rPr>
            </w:pPr>
            <w:r>
              <w:rPr>
                <w:sz w:val="20"/>
                <w:szCs w:val="20"/>
              </w:rPr>
              <w:t>- sterowanie układem ogrzewania przedziału medycznego,</w:t>
            </w:r>
          </w:p>
          <w:p>
            <w:pPr>
              <w:pStyle w:val="BodyText"/>
              <w:rPr>
                <w:sz w:val="20"/>
                <w:szCs w:val="20"/>
              </w:rPr>
            </w:pPr>
            <w:r>
              <w:rPr>
                <w:sz w:val="20"/>
                <w:szCs w:val="20"/>
              </w:rPr>
              <w:t>- informujący o temperaturze przedziału medycznego,</w:t>
            </w:r>
          </w:p>
          <w:p>
            <w:pPr>
              <w:pStyle w:val="BodyText"/>
              <w:rPr>
                <w:sz w:val="20"/>
                <w:szCs w:val="20"/>
              </w:rPr>
            </w:pPr>
            <w:r>
              <w:rPr>
                <w:sz w:val="20"/>
                <w:szCs w:val="20"/>
              </w:rPr>
              <w:t>- sterowanie układem klimatyzacji i wentylacji przedziału medycznego,</w:t>
            </w:r>
          </w:p>
          <w:p>
            <w:pPr>
              <w:pStyle w:val="BodyText"/>
              <w:widowControl/>
              <w:suppressAutoHyphens w:val="true"/>
              <w:bidi w:val="0"/>
              <w:spacing w:lineRule="auto" w:line="240" w:before="57" w:after="57"/>
              <w:ind w:hanging="113" w:left="113" w:right="0"/>
              <w:jc w:val="left"/>
              <w:rPr>
                <w:sz w:val="20"/>
                <w:szCs w:val="20"/>
              </w:rPr>
            </w:pPr>
            <w:r>
              <w:rPr>
                <w:sz w:val="20"/>
                <w:szCs w:val="20"/>
              </w:rPr>
              <w:t>- możliwość sterowania oświetleniem zewnętrznym i wewnętrznym z paneli przy drzwiach wejściowych do przedziału medycznego,</w:t>
            </w:r>
          </w:p>
          <w:p>
            <w:pPr>
              <w:pStyle w:val="BodyText"/>
              <w:rPr>
                <w:sz w:val="20"/>
                <w:szCs w:val="20"/>
              </w:rPr>
            </w:pPr>
            <w:r>
              <w:rPr>
                <w:sz w:val="20"/>
                <w:szCs w:val="20"/>
              </w:rPr>
              <w:t>- panel sterujący z wyświetlaczem LED,</w:t>
            </w:r>
          </w:p>
          <w:p>
            <w:pPr>
              <w:pStyle w:val="BodyText"/>
              <w:widowControl/>
              <w:suppressAutoHyphens w:val="true"/>
              <w:overflowPunct w:val="false"/>
              <w:bidi w:val="0"/>
              <w:spacing w:lineRule="auto" w:line="240" w:before="57" w:after="57"/>
              <w:ind w:hanging="113" w:left="0" w:right="0"/>
              <w:jc w:val="left"/>
              <w:rPr>
                <w:highlight w:val="none"/>
                <w:shd w:fill="auto" w:val="clear"/>
              </w:rPr>
            </w:pPr>
            <w:r>
              <w:rPr>
                <w:sz w:val="20"/>
                <w:szCs w:val="20"/>
                <w:shd w:fill="auto" w:val="clear"/>
              </w:rPr>
              <w:t>- sterowanie pracą przetwornicy 230 V AC za pomocą wydzielonego, oznaczonego przycisku umiejscowionego w panelu przedziału medycznego. Świetlna sygnalizacja załączenia przetwornicy 230 V AC</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Sufitowy uchwyt do kroplówek na min. 3 szt. pojemników</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Zabezpieczenie wszystkich urządzeń oraz elementów wyposażenia przedziału medycznego przed przemieszczaniem się w czasie jazdy, gwarantujące jednocześnie łatwość dostępu i użycia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lineRule="auto" w:line="240" w:before="57" w:after="57"/>
              <w:rPr/>
            </w:pPr>
            <w:r>
              <w:rPr>
                <w:rFonts w:cs="Calibri"/>
                <w:sz w:val="20"/>
                <w:szCs w:val="20"/>
                <w:lang w:eastAsia="ar-SA"/>
              </w:rPr>
              <w:t>Centralna instalacja tlenowa:</w:t>
            </w:r>
          </w:p>
          <w:p>
            <w:pPr>
              <w:pStyle w:val="BodyText"/>
              <w:spacing w:lineRule="auto" w:line="240" w:before="57" w:after="57"/>
              <w:rPr/>
            </w:pPr>
            <w:r>
              <w:rPr>
                <w:rFonts w:cs="Calibri"/>
                <w:sz w:val="20"/>
                <w:szCs w:val="20"/>
                <w:lang w:eastAsia="ar-SA"/>
              </w:rPr>
              <w:t>a) z zamontowanym na ścianie lewej panelem z min. 2 punktami poboru typu AGA (oddzielne gniazda pojedyncze),</w:t>
              <w:br/>
              <w:t>b) sufitowy punkt poboru tlenu, z regulacją przepływu tlenu przez przepływomierz ścienny,</w:t>
            </w:r>
          </w:p>
          <w:p>
            <w:pPr>
              <w:pStyle w:val="BodyText"/>
              <w:spacing w:lineRule="auto" w:line="240" w:before="57" w:after="57"/>
              <w:rPr/>
            </w:pPr>
            <w:r>
              <w:rPr>
                <w:rFonts w:cs="Calibri"/>
                <w:sz w:val="20"/>
                <w:szCs w:val="20"/>
                <w:lang w:eastAsia="ar-SA"/>
              </w:rPr>
              <w:t>c) mocowanie 2 szt. butli tlenowych o pojemności tlenu medycznego 8 litrów zewnętrznym schowku,</w:t>
            </w:r>
          </w:p>
          <w:p>
            <w:pPr>
              <w:pStyle w:val="BodyText"/>
              <w:spacing w:lineRule="auto" w:line="240" w:before="57" w:after="57"/>
              <w:rPr/>
            </w:pPr>
            <w:r>
              <w:rPr>
                <w:rFonts w:cs="Calibri"/>
                <w:sz w:val="20"/>
                <w:szCs w:val="20"/>
                <w:lang w:eastAsia="ar-SA"/>
              </w:rPr>
              <w:t>d) instalacja tlenowa przystosowana do pracy przy ciśnieniu roboczym 150 atm.,</w:t>
            </w:r>
          </w:p>
          <w:p>
            <w:pPr>
              <w:pStyle w:val="BodyText"/>
              <w:widowControl/>
              <w:suppressAutoHyphens w:val="true"/>
              <w:bidi w:val="0"/>
              <w:spacing w:lineRule="auto" w:line="240" w:before="57" w:after="57"/>
              <w:ind w:hanging="227" w:left="227" w:right="0"/>
              <w:jc w:val="left"/>
              <w:rPr/>
            </w:pPr>
            <w:r>
              <w:rPr>
                <w:rFonts w:cs="Calibri"/>
                <w:sz w:val="20"/>
                <w:szCs w:val="20"/>
                <w:lang w:eastAsia="ar-SA"/>
              </w:rPr>
              <w:t>e) konstrukcja zapewniająca możliwość swobodnego dostępu z wnętrza ambulansu do zaworów butli tlenowych oraz obserwacji manometrów reduktorów tlenowych bez potrzeby zdejmowania osłony,</w:t>
            </w:r>
          </w:p>
          <w:p>
            <w:pPr>
              <w:pStyle w:val="BodyText"/>
              <w:widowControl/>
              <w:suppressAutoHyphens w:val="true"/>
              <w:bidi w:val="0"/>
              <w:spacing w:lineRule="auto" w:line="240" w:before="57" w:after="57"/>
              <w:ind w:hanging="227" w:left="227" w:right="0"/>
              <w:jc w:val="left"/>
              <w:rPr/>
            </w:pPr>
            <w:r>
              <w:rPr>
                <w:rFonts w:cs="Calibri"/>
                <w:sz w:val="20"/>
                <w:szCs w:val="20"/>
                <w:lang w:eastAsia="ar-SA"/>
              </w:rPr>
              <w:t>f) dozownik tlenu z regulatorem przepływu 0-15 l/min podłączony do szybkozłącza AGA reduktora lub do panelu tlenowego – 2 szt.</w:t>
            </w:r>
          </w:p>
          <w:p>
            <w:pPr>
              <w:pStyle w:val="BodyText"/>
              <w:spacing w:lineRule="auto" w:line="240" w:before="57" w:after="57"/>
              <w:rPr/>
            </w:pPr>
            <w:r>
              <w:rPr>
                <w:rFonts w:cs="Calibri"/>
                <w:sz w:val="20"/>
                <w:szCs w:val="20"/>
                <w:lang w:eastAsia="ar-SA"/>
              </w:rPr>
              <w:t>g) uchwyt małej butli tlenowej o pojemności tlenu medycznego 2 litry w zabudowie medycznej</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Laweta (podstawa pod nosze główne) z napędem mechanicznym, posiadająca przesuw boczny min. 20 cm, możliwość pochyłu o min. 10 stopni do pozycji Trendelenburga i Antytrendelenburga (pozycji drenażowej), z wysuwem na zewnątrz pojazdu umożliwiającym wjazd noszy na lawetę pod kątem nie większym jak 10 stopni (podać markę i model).</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Wzmocniona podłoga umożliwiająca mocowanie ruchomej podstawy pod nosze główne. W podłodze zintegrowane wzmocnienia pod lawetę i fotele. Podłoga o powierzchni przeciw-poślizgowej, łatwo zmywalnej, połączonej szczelnie z zabudową ścian</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Kosze na śmieci i miejsca na pojemniki na materiał niebezpieczny w zabudowie meblowej.</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Co najmniej 2 sufitowe punkty świetlne typu LED nad noszami, z regulacją kąta padania światła + oświetlenie punktowe typu LED blatu roboczego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Automatyczne włączenie / wyłączenie oświetlenia (jednej sekcji) po otwarciu / zamknięciu drzwi przedziału pacjenta, możliwość włączania / wyłączania oświetlenia z paneli umieszczonych przy drzwiach wejściowych do przedziału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Uchwyty ścienne i sufitowe dla personelu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18</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Lodówka sprężarkowa do przechowywania leków i innych materiałów wymagających niskiej temperatury otoczenia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rPr>
              <w:t xml:space="preserve">Uchwyt pod drukarkę dla drukarek </w:t>
            </w:r>
            <w:r>
              <w:rPr>
                <w:rFonts w:cs="Calibri"/>
                <w:color w:val="000000"/>
                <w:sz w:val="20"/>
                <w:szCs w:val="20"/>
              </w:rPr>
              <w:t xml:space="preserve">Epson M1100/M1120. Obok półki </w:t>
            </w:r>
            <w:r>
              <w:rPr>
                <w:rFonts w:cs="Calibri"/>
                <w:sz w:val="20"/>
                <w:szCs w:val="20"/>
              </w:rPr>
              <w:t>dodatkowe gniazda zasilania 12V DC z akumulatora medycznego oraz 230V AC zasilane z przetwornicy ambulansu. Dodatkowo w pobliżu drukarki zainstalowana przetwornica 12 V/230 V o mocy do 300 W dedykowana do zasilania drukarki.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UWAGA – szczegóły dotyczące zabudowy oraz rozmieszczenia sprzętu zostaną ustalone po podpisaniu umowy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X.</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ŁĄCZNOŚĆ RADIOWA</w:t>
            </w:r>
          </w:p>
        </w:tc>
      </w:tr>
      <w:tr>
        <w:trPr>
          <w:trHeight w:val="334"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Ambulans powinien być wyposażony w radiotelefon przewoźny wraz z dedykowaną instalacją.</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Miejsce instalacji radiotelefonu powinno znajdować się w desce rozdzielczej ambulansu w miejscu nie ograniczającym widoczności kierowcy ambulansu. Nie dopuszcza się instalacji radiotelefonu nad głową kierowcy (górnej półce)</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r>
          </w:p>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fa-IR" w:bidi="fa-IR"/>
              </w:rPr>
              <w:t xml:space="preserve">Zamontowana na dachu ambulansu antena o charakterystyce pracy dookólnej, firmy RADMOR typu 30834/3,6 (wykonanie 160-174 MHz) i impedancji wejściowej 50 </w:t>
            </w:r>
            <w:r>
              <w:rPr>
                <w:rFonts w:eastAsia="Calibri" w:cs="Calibri" w:ascii="Liberation Serif" w:hAnsi="Liberation Serif"/>
                <w:sz w:val="20"/>
                <w:szCs w:val="20"/>
                <w:lang w:eastAsia="fa-IR" w:bidi="fa-IR"/>
              </w:rPr>
              <w:t>Ω</w:t>
            </w:r>
            <w:r>
              <w:rPr>
                <w:rFonts w:cs="Calibri"/>
                <w:sz w:val="20"/>
                <w:szCs w:val="20"/>
                <w:lang w:eastAsia="fa-IR" w:bidi="fa-IR"/>
              </w:rPr>
              <w:t xml:space="preserve"> podłączona do radiotelefonu przewoźnego. </w:t>
              <w:br/>
              <w:t>Dostęp do głowicy anteny powinien być możliwy po demontażu lamp sufitowych przedziału medycznego lub innych elementów jego wyposażenia.  Pręt anteny powinien być wyposażony w sprężynę amortyzującą uderzenia z zainstalowaną fabrycznie zworą wewnątrz sprężyny. Nie dopuszcza się anten bez elementu amortyzującego pręt antenowy od uderzeń.</w:t>
            </w:r>
          </w:p>
          <w:p>
            <w:pPr>
              <w:pStyle w:val="BodyText"/>
              <w:spacing w:before="57" w:after="57"/>
              <w:rPr>
                <w:sz w:val="20"/>
                <w:szCs w:val="20"/>
              </w:rPr>
            </w:pPr>
            <w:r>
              <w:rPr>
                <w:sz w:val="20"/>
                <w:szCs w:val="20"/>
              </w:rPr>
              <w:t>Uwaga: antenę do pasma pracy radiotelefonu dostraja Zamawiający (poprzez obcięcie pręta anteny)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r>
          </w:p>
          <w:p>
            <w:pPr>
              <w:pStyle w:val="BodyText"/>
              <w:spacing w:before="57" w:after="57"/>
              <w:jc w:val="center"/>
              <w:rPr>
                <w:sz w:val="20"/>
                <w:szCs w:val="20"/>
              </w:rPr>
            </w:pPr>
            <w:r>
              <w:rPr>
                <w:sz w:val="20"/>
                <w:szCs w:val="20"/>
              </w:rPr>
              <w:t>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bookmarkStart w:id="0" w:name="page60R_mcid152_kopia_1"/>
            <w:bookmarkEnd w:id="0"/>
            <w:r>
              <w:rPr>
                <w:sz w:val="20"/>
                <w:szCs w:val="20"/>
              </w:rPr>
              <w:t xml:space="preserve">Radiotelefon przewoźny cyfrowo-analogowy. Radiotelefon musi być w pełni kompatybilny z cyfrowym systemem radiowym MotoTRBO używanym przez Zamawiającego oraz współpracować z Motorola MotoTRBO DR3000 </w:t>
              <w:br/>
              <w:t>i SLR5000 repeater, a w szczególności posiadać nie gorsze parametry niż:</w:t>
            </w:r>
          </w:p>
          <w:p>
            <w:pPr>
              <w:pStyle w:val="BodyText"/>
              <w:widowControl/>
              <w:suppressAutoHyphens w:val="true"/>
              <w:bidi w:val="0"/>
              <w:spacing w:lineRule="auto" w:line="240" w:before="57" w:after="57"/>
              <w:ind w:hanging="170" w:left="170" w:right="0"/>
              <w:jc w:val="left"/>
              <w:rPr>
                <w:sz w:val="20"/>
                <w:szCs w:val="20"/>
              </w:rPr>
            </w:pPr>
            <w:r>
              <w:rPr>
                <w:kern w:val="2"/>
                <w:sz w:val="20"/>
                <w:szCs w:val="20"/>
                <w:lang w:eastAsia="zh-CN" w:bidi="hi-IN"/>
              </w:rPr>
              <w:t>- Radiotelefon przewoźny cyfrowo-analogowy z GPS (aktualne potwierdzenie zgodności lub ważne świadectwo homologacji - dopuszczenie do pracy na terenie RP</w:t>
            </w:r>
          </w:p>
          <w:p>
            <w:pPr>
              <w:pStyle w:val="BodyText"/>
              <w:rPr>
                <w:sz w:val="20"/>
                <w:szCs w:val="20"/>
              </w:rPr>
            </w:pPr>
            <w:r>
              <w:rPr>
                <w:sz w:val="20"/>
                <w:szCs w:val="20"/>
              </w:rPr>
              <w:t>- najnowsza wersja oprogramowania (firmware) radiotelefonu</w:t>
            </w:r>
          </w:p>
          <w:p>
            <w:pPr>
              <w:pStyle w:val="BodyText"/>
              <w:rPr>
                <w:sz w:val="20"/>
                <w:szCs w:val="20"/>
              </w:rPr>
            </w:pPr>
            <w:r>
              <w:rPr>
                <w:sz w:val="20"/>
                <w:szCs w:val="20"/>
              </w:rPr>
              <w:t>- Praca w standardach: cyfrowym ETSI TS 102 361, analogowym w trybach simpleks/duosimpleks,</w:t>
            </w:r>
          </w:p>
          <w:p>
            <w:pPr>
              <w:pStyle w:val="BodyText"/>
              <w:rPr>
                <w:sz w:val="20"/>
                <w:szCs w:val="20"/>
              </w:rPr>
            </w:pPr>
            <w:r>
              <w:rPr>
                <w:sz w:val="20"/>
                <w:szCs w:val="20"/>
              </w:rPr>
              <w:t>- Liczba kanałów pracy powyżej 250 z ilością minimum dwóch stref podziału</w:t>
            </w:r>
          </w:p>
          <w:p>
            <w:pPr>
              <w:pStyle w:val="BodyText"/>
              <w:widowControl/>
              <w:suppressAutoHyphens w:val="true"/>
              <w:bidi w:val="0"/>
              <w:spacing w:lineRule="auto" w:line="240" w:before="57" w:after="57"/>
              <w:ind w:hanging="113" w:left="113" w:right="0"/>
              <w:jc w:val="left"/>
              <w:rPr>
                <w:sz w:val="20"/>
                <w:szCs w:val="20"/>
              </w:rPr>
            </w:pPr>
            <w:r>
              <w:rPr>
                <w:sz w:val="20"/>
                <w:szCs w:val="20"/>
              </w:rPr>
              <w:t>- Wyświetlacz kolorowy z podświetlaniem w trybie dzień i noc umożliwiający wizualizację odbieranych i wysyłanych wywołań oraz poziomu sygnału w trybie cyfrowym</w:t>
            </w:r>
          </w:p>
          <w:p>
            <w:pPr>
              <w:pStyle w:val="BodyText"/>
              <w:rPr>
                <w:sz w:val="20"/>
                <w:szCs w:val="20"/>
              </w:rPr>
            </w:pPr>
            <w:r>
              <w:rPr>
                <w:sz w:val="20"/>
                <w:szCs w:val="20"/>
              </w:rPr>
              <w:t>- Cztery programowalne przyciski funkcyjne na panelu przednim</w:t>
            </w:r>
          </w:p>
          <w:p>
            <w:pPr>
              <w:pStyle w:val="BodyText"/>
              <w:rPr>
                <w:sz w:val="20"/>
                <w:szCs w:val="20"/>
              </w:rPr>
            </w:pPr>
            <w:r>
              <w:rPr>
                <w:sz w:val="20"/>
                <w:szCs w:val="20"/>
              </w:rPr>
              <w:t>- Możliwość wysyłania i odbierania wiadomości tekstowych</w:t>
            </w:r>
          </w:p>
          <w:p>
            <w:pPr>
              <w:pStyle w:val="BodyText"/>
              <w:widowControl/>
              <w:suppressAutoHyphens w:val="true"/>
              <w:bidi w:val="0"/>
              <w:spacing w:lineRule="auto" w:line="240" w:before="57" w:after="57"/>
              <w:ind w:hanging="113" w:left="113" w:right="0"/>
              <w:jc w:val="left"/>
              <w:rPr>
                <w:sz w:val="20"/>
                <w:szCs w:val="20"/>
              </w:rPr>
            </w:pPr>
            <w:r>
              <w:rPr>
                <w:sz w:val="20"/>
                <w:szCs w:val="20"/>
              </w:rPr>
              <w:t>- Wizualna sygnalizacja (np. diodowa) stanów pracy radiotelefonu, w tym: wywołań, skaningu i stanów monitorowania</w:t>
            </w:r>
          </w:p>
          <w:p>
            <w:pPr>
              <w:pStyle w:val="BodyText"/>
              <w:widowControl/>
              <w:suppressAutoHyphens w:val="true"/>
              <w:bidi w:val="0"/>
              <w:spacing w:lineRule="auto" w:line="240" w:before="57" w:after="57"/>
              <w:ind w:hanging="113" w:left="113" w:right="0"/>
              <w:jc w:val="left"/>
              <w:rPr>
                <w:sz w:val="20"/>
                <w:szCs w:val="20"/>
              </w:rPr>
            </w:pPr>
            <w:r>
              <w:rPr>
                <w:sz w:val="20"/>
                <w:szCs w:val="20"/>
              </w:rPr>
              <w:t>- Wywołanie indywidualne, grupowe, alarmowe oraz okólnikowe (wszystkich) w trybie cyfrowym z identyfikacją na wyświetlaczu abonenta wywołującego i sygnalizacją akustyczną (z możliwością wyłączenia sygnalizacji akustycznej)</w:t>
            </w:r>
          </w:p>
          <w:p>
            <w:pPr>
              <w:pStyle w:val="BodyText"/>
              <w:rPr>
                <w:sz w:val="20"/>
                <w:szCs w:val="20"/>
              </w:rPr>
            </w:pPr>
            <w:r>
              <w:rPr>
                <w:sz w:val="20"/>
                <w:szCs w:val="20"/>
              </w:rPr>
              <w:t>- Programowalny adres IP radiotelefonu</w:t>
            </w:r>
          </w:p>
          <w:p>
            <w:pPr>
              <w:pStyle w:val="BodyText"/>
              <w:rPr>
                <w:sz w:val="20"/>
                <w:szCs w:val="20"/>
              </w:rPr>
            </w:pPr>
            <w:r>
              <w:rPr>
                <w:sz w:val="20"/>
                <w:szCs w:val="20"/>
              </w:rPr>
              <w:t>- Radiotelefon powinien posiadać poniższe funkcje sygnalizacji:</w:t>
            </w:r>
          </w:p>
          <w:p>
            <w:pPr>
              <w:pStyle w:val="BodyText"/>
              <w:rPr>
                <w:sz w:val="20"/>
                <w:szCs w:val="20"/>
              </w:rPr>
            </w:pPr>
            <w:r>
              <w:rPr>
                <w:sz w:val="20"/>
                <w:szCs w:val="20"/>
              </w:rPr>
              <w:t>* zdalne sprawdzenie obecności radiotelefonu w sieci</w:t>
            </w:r>
          </w:p>
          <w:p>
            <w:pPr>
              <w:pStyle w:val="BodyText"/>
              <w:rPr>
                <w:sz w:val="20"/>
                <w:szCs w:val="20"/>
              </w:rPr>
            </w:pPr>
            <w:r>
              <w:rPr>
                <w:sz w:val="20"/>
                <w:szCs w:val="20"/>
              </w:rPr>
              <w:t>* zdalny monitoring</w:t>
            </w:r>
          </w:p>
          <w:p>
            <w:pPr>
              <w:pStyle w:val="BodyText"/>
              <w:rPr>
                <w:sz w:val="20"/>
                <w:szCs w:val="20"/>
              </w:rPr>
            </w:pPr>
            <w:r>
              <w:rPr>
                <w:sz w:val="20"/>
                <w:szCs w:val="20"/>
              </w:rPr>
              <w:t>* zdalne zablokowanie i odblokowanie radiotelefonu</w:t>
            </w:r>
          </w:p>
          <w:p>
            <w:pPr>
              <w:pStyle w:val="BodyText"/>
              <w:rPr>
                <w:sz w:val="20"/>
                <w:szCs w:val="20"/>
              </w:rPr>
            </w:pPr>
            <w:r>
              <w:rPr>
                <w:sz w:val="20"/>
                <w:szCs w:val="20"/>
              </w:rPr>
              <w:t>- Możliwość maskowania korespondencji w trybie cyfrowym (min. 16 kluczy kodowych)</w:t>
            </w:r>
          </w:p>
          <w:p>
            <w:pPr>
              <w:pStyle w:val="BodyText"/>
              <w:widowControl/>
              <w:suppressAutoHyphens w:val="true"/>
              <w:bidi w:val="0"/>
              <w:spacing w:lineRule="auto" w:line="240" w:before="57" w:after="57"/>
              <w:ind w:hanging="113" w:left="113" w:right="0"/>
              <w:jc w:val="left"/>
              <w:rPr>
                <w:sz w:val="20"/>
                <w:szCs w:val="20"/>
              </w:rPr>
            </w:pPr>
            <w:r>
              <w:rPr>
                <w:sz w:val="20"/>
                <w:szCs w:val="20"/>
              </w:rPr>
              <w:t>- Złącze akcesoryjne – umożliwia transmisję zgodną ze standardem USB, podłączenie dodatkowego głośnika i mikrofonu, przycisku nadawania, itp.</w:t>
            </w:r>
          </w:p>
          <w:p>
            <w:pPr>
              <w:pStyle w:val="BodyText"/>
              <w:widowControl/>
              <w:suppressAutoHyphens w:val="true"/>
              <w:bidi w:val="0"/>
              <w:spacing w:lineRule="auto" w:line="240" w:before="57" w:after="57"/>
              <w:ind w:hanging="113" w:left="113" w:right="0"/>
              <w:jc w:val="left"/>
              <w:rPr>
                <w:sz w:val="20"/>
                <w:szCs w:val="20"/>
              </w:rPr>
            </w:pPr>
            <w:r>
              <w:rPr>
                <w:sz w:val="20"/>
                <w:szCs w:val="20"/>
              </w:rPr>
              <w:t>- Złącze akcesoryjne – umożliwia transmisję zgodną ze standardem USB, podłączenie dodatkowego głośnika i mikrofonu, przycisku nadawania, itp.</w:t>
            </w:r>
          </w:p>
          <w:p>
            <w:pPr>
              <w:pStyle w:val="BodyText"/>
              <w:rPr>
                <w:sz w:val="20"/>
                <w:szCs w:val="20"/>
              </w:rPr>
            </w:pPr>
            <w:r>
              <w:rPr>
                <w:sz w:val="20"/>
                <w:szCs w:val="20"/>
              </w:rPr>
              <w:t>- Zabezpieczenie przepięciowe i przed odwrotnym podłączeniem biegunów zasilania</w:t>
            </w:r>
          </w:p>
          <w:p>
            <w:pPr>
              <w:pStyle w:val="BodyText"/>
              <w:rPr>
                <w:sz w:val="20"/>
                <w:szCs w:val="20"/>
              </w:rPr>
            </w:pPr>
            <w:r>
              <w:rPr>
                <w:sz w:val="20"/>
                <w:szCs w:val="20"/>
              </w:rPr>
              <w:t>- Gniazdo antenowe typu BNC</w:t>
            </w:r>
          </w:p>
          <w:p>
            <w:pPr>
              <w:pStyle w:val="BodyText"/>
              <w:rPr>
                <w:sz w:val="20"/>
                <w:szCs w:val="20"/>
              </w:rPr>
            </w:pPr>
            <w:r>
              <w:rPr>
                <w:sz w:val="20"/>
                <w:szCs w:val="20"/>
              </w:rPr>
              <w:t>- Wbudowany głośnik</w:t>
            </w:r>
          </w:p>
          <w:p>
            <w:pPr>
              <w:pStyle w:val="BodyText"/>
              <w:rPr>
                <w:sz w:val="20"/>
                <w:szCs w:val="20"/>
              </w:rPr>
            </w:pPr>
            <w:r>
              <w:rPr>
                <w:sz w:val="20"/>
                <w:szCs w:val="20"/>
              </w:rPr>
              <w:t>- Menu radiotelefonu w języku polskim</w:t>
            </w:r>
          </w:p>
          <w:p>
            <w:pPr>
              <w:pStyle w:val="BodyText"/>
              <w:rPr>
                <w:sz w:val="20"/>
                <w:szCs w:val="20"/>
              </w:rPr>
            </w:pPr>
            <w:r>
              <w:rPr>
                <w:sz w:val="20"/>
                <w:szCs w:val="20"/>
              </w:rPr>
              <w:t>- Pasmo częstotliwości pracy 136 ÷174 MHz</w:t>
            </w:r>
          </w:p>
          <w:p>
            <w:pPr>
              <w:pStyle w:val="BodyText"/>
              <w:rPr>
                <w:sz w:val="20"/>
                <w:szCs w:val="20"/>
              </w:rPr>
            </w:pPr>
            <w:r>
              <w:rPr>
                <w:sz w:val="20"/>
                <w:szCs w:val="20"/>
              </w:rPr>
              <w:t>- Odstęp międzykanałowy: 12,5 kHz</w:t>
            </w:r>
          </w:p>
          <w:p>
            <w:pPr>
              <w:pStyle w:val="BodyText"/>
              <w:widowControl/>
              <w:suppressAutoHyphens w:val="true"/>
              <w:bidi w:val="0"/>
              <w:spacing w:lineRule="auto" w:line="240" w:before="57" w:after="57"/>
              <w:ind w:hanging="113" w:left="113" w:right="0"/>
              <w:jc w:val="left"/>
              <w:rPr>
                <w:sz w:val="20"/>
                <w:szCs w:val="20"/>
              </w:rPr>
            </w:pPr>
            <w:r>
              <w:rPr>
                <w:sz w:val="20"/>
                <w:szCs w:val="20"/>
              </w:rPr>
              <w:t>- Zasilanie stałoprądowe 13,2 V ±20% minus na masie z zabezpieczeniem przepięciowym i przed odwrotnym podłączeniem biegunów zasilania</w:t>
            </w:r>
          </w:p>
          <w:p>
            <w:pPr>
              <w:pStyle w:val="BodyText"/>
              <w:rPr>
                <w:sz w:val="20"/>
                <w:szCs w:val="20"/>
              </w:rPr>
            </w:pPr>
            <w:r>
              <w:rPr>
                <w:sz w:val="20"/>
                <w:szCs w:val="20"/>
              </w:rPr>
              <w:t>- Moc wyjściowa fali nośnej nadajnika programowana w całym zakresie częstotliwości od 1 W do 25W</w:t>
            </w:r>
          </w:p>
          <w:p>
            <w:pPr>
              <w:pStyle w:val="BodyText"/>
              <w:widowControl/>
              <w:suppressAutoHyphens w:val="true"/>
              <w:bidi w:val="0"/>
              <w:spacing w:lineRule="auto" w:line="240" w:before="57" w:after="57"/>
              <w:ind w:hanging="113" w:left="113" w:right="0"/>
              <w:jc w:val="left"/>
              <w:rPr>
                <w:sz w:val="20"/>
                <w:szCs w:val="20"/>
              </w:rPr>
            </w:pPr>
            <w:r>
              <w:rPr>
                <w:sz w:val="20"/>
                <w:szCs w:val="20"/>
              </w:rPr>
              <w:t>- Możliwość ustawienia dwóch poziomów mocy dla radiotelefonu (moc niska / moc wysoka w zakresie 1 – 25W) i ustawienie jednego z nich na dowolnym kanale,</w:t>
            </w:r>
          </w:p>
          <w:p>
            <w:pPr>
              <w:pStyle w:val="BodyText"/>
              <w:rPr>
                <w:sz w:val="20"/>
                <w:szCs w:val="20"/>
              </w:rPr>
            </w:pPr>
            <w:r>
              <w:rPr>
                <w:sz w:val="20"/>
                <w:szCs w:val="20"/>
              </w:rPr>
              <w:t>- Radiotelefon musi posiadać wbudowany moduł GPS</w:t>
            </w:r>
          </w:p>
          <w:p>
            <w:pPr>
              <w:pStyle w:val="BodyText"/>
              <w:rPr>
                <w:sz w:val="20"/>
                <w:szCs w:val="20"/>
              </w:rPr>
            </w:pPr>
            <w:r>
              <w:rPr>
                <w:sz w:val="20"/>
                <w:szCs w:val="20"/>
              </w:rPr>
              <w:t>- Możliwość zabezpieczenia parametrów konfiguracyjnych hasłem przed odczytem.</w:t>
            </w:r>
          </w:p>
          <w:p>
            <w:pPr>
              <w:pStyle w:val="BodyText"/>
              <w:rPr>
                <w:sz w:val="20"/>
                <w:szCs w:val="20"/>
              </w:rPr>
            </w:pPr>
            <w:r>
              <w:rPr>
                <w:sz w:val="20"/>
                <w:szCs w:val="20"/>
              </w:rPr>
              <w:t>- Radiotelefon musi posiadać oznaczenie CE, spełniać normę IP 54 lub równoważną</w:t>
            </w:r>
          </w:p>
          <w:p>
            <w:pPr>
              <w:pStyle w:val="BodyText"/>
              <w:rPr>
                <w:sz w:val="20"/>
                <w:szCs w:val="20"/>
              </w:rPr>
            </w:pPr>
            <w:r>
              <w:rPr>
                <w:sz w:val="20"/>
                <w:szCs w:val="20"/>
              </w:rPr>
              <w:t>- Radiotelefon przewoźny wyposażony w mikrofon z przyciskiem nadawania PTT</w:t>
            </w:r>
          </w:p>
          <w:p>
            <w:pPr>
              <w:pStyle w:val="BodyText"/>
              <w:rPr>
                <w:sz w:val="20"/>
                <w:szCs w:val="20"/>
              </w:rPr>
            </w:pPr>
            <w:r>
              <w:rPr>
                <w:sz w:val="20"/>
                <w:szCs w:val="20"/>
              </w:rPr>
              <w:t>- Urządzenie musi posiadać możliwość programowania poprzez kabel serwisowy</w:t>
            </w:r>
          </w:p>
          <w:p>
            <w:pPr>
              <w:pStyle w:val="BodyText"/>
              <w:rPr>
                <w:sz w:val="20"/>
                <w:szCs w:val="20"/>
              </w:rPr>
            </w:pPr>
            <w:r>
              <w:rPr>
                <w:sz w:val="20"/>
                <w:szCs w:val="20"/>
              </w:rPr>
              <w:t xml:space="preserve">- Wraz z radiotelefonem należy dostarczyć kabel serwisowy do programowania oraz oprogramowanie serwisowe </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Zewnętrzna aktywna antena systemu GPS zainstalowana na dachu pojazdu i podłączona do radiotelefonu przewoźnego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r>
          </w:p>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bookmarkStart w:id="1" w:name="page60R_mcid152_kopia_1_kopia_1"/>
            <w:bookmarkEnd w:id="1"/>
            <w:r>
              <w:rPr>
                <w:sz w:val="20"/>
                <w:szCs w:val="20"/>
              </w:rPr>
              <w:t>Radiotelefon noszony (przenośny) cyfrowo-analogowy. Radiotelefon musi być w pełni kompatybilny z cyfrowym systemem radiowym MotoTRBO używanym przez Zamawiającego oraz współpracować z Motorola MotoTRBO DR3000 i SLR5000 repeater, a w szczególności posiadać nie gorsze parametry niż:</w:t>
            </w:r>
          </w:p>
          <w:p>
            <w:pPr>
              <w:pStyle w:val="BodyText"/>
              <w:widowControl/>
              <w:suppressAutoHyphens w:val="true"/>
              <w:bidi w:val="0"/>
              <w:spacing w:lineRule="auto" w:line="240" w:before="57" w:after="57"/>
              <w:ind w:hanging="113" w:left="113" w:right="0"/>
              <w:jc w:val="left"/>
              <w:rPr>
                <w:sz w:val="20"/>
                <w:szCs w:val="20"/>
              </w:rPr>
            </w:pPr>
            <w:r>
              <w:rPr>
                <w:kern w:val="2"/>
                <w:sz w:val="20"/>
                <w:szCs w:val="20"/>
                <w:lang w:eastAsia="zh-CN" w:bidi="hi-IN"/>
              </w:rPr>
              <w:t>- Radiotelefon przenośny cyfrowo-analogowy z GPS (aktualne potwierdzenie zgodności lub ważne świadectwo homologacji - dopuszczenie do pracy na terenie RP,</w:t>
            </w:r>
          </w:p>
          <w:p>
            <w:pPr>
              <w:pStyle w:val="BodyText"/>
              <w:rPr>
                <w:sz w:val="20"/>
                <w:szCs w:val="20"/>
              </w:rPr>
            </w:pPr>
            <w:r>
              <w:rPr>
                <w:sz w:val="20"/>
                <w:szCs w:val="20"/>
              </w:rPr>
              <w:t>- najnowsza wersja oprogramowania (firmware) radiotelefonu</w:t>
            </w:r>
          </w:p>
          <w:p>
            <w:pPr>
              <w:pStyle w:val="BodyText"/>
              <w:widowControl/>
              <w:suppressAutoHyphens w:val="true"/>
              <w:bidi w:val="0"/>
              <w:spacing w:lineRule="auto" w:line="240" w:before="57" w:after="57"/>
              <w:ind w:hanging="113" w:left="113" w:right="0"/>
              <w:jc w:val="left"/>
              <w:rPr>
                <w:sz w:val="20"/>
                <w:szCs w:val="20"/>
              </w:rPr>
            </w:pPr>
            <w:r>
              <w:rPr>
                <w:sz w:val="20"/>
                <w:szCs w:val="20"/>
              </w:rPr>
              <w:t>- Praca w standardach: cyfrowym ETSI TS 102 361-1, -2, -3 DMR Tier II i DMR Tier III, analogowym w trybach simpleks/duosimpleks,</w:t>
            </w:r>
          </w:p>
          <w:p>
            <w:pPr>
              <w:pStyle w:val="BodyText"/>
              <w:rPr>
                <w:sz w:val="20"/>
                <w:szCs w:val="20"/>
              </w:rPr>
            </w:pPr>
            <w:r>
              <w:rPr>
                <w:sz w:val="20"/>
                <w:szCs w:val="20"/>
              </w:rPr>
              <w:t>-  Liczba kanałów pracy powyżej 250 z ilością minimum dwóch stref podziału,</w:t>
            </w:r>
          </w:p>
          <w:p>
            <w:pPr>
              <w:pStyle w:val="BodyText"/>
              <w:widowControl/>
              <w:tabs>
                <w:tab w:val="clear" w:pos="708"/>
                <w:tab w:val="left" w:pos="112" w:leader="none"/>
              </w:tabs>
              <w:suppressAutoHyphens w:val="true"/>
              <w:bidi w:val="0"/>
              <w:spacing w:lineRule="auto" w:line="240" w:before="57" w:after="57"/>
              <w:ind w:hanging="113" w:left="113" w:right="0"/>
              <w:jc w:val="left"/>
              <w:rPr>
                <w:sz w:val="20"/>
                <w:szCs w:val="20"/>
              </w:rPr>
            </w:pPr>
            <w:r>
              <w:rPr>
                <w:sz w:val="20"/>
                <w:szCs w:val="20"/>
              </w:rPr>
              <w:t>- Wyświetlacz z podświetlaniem umożliwiający wizualizację odbieranych i wysyłanych wywołań oraz poziomu sygnału w trybie cyfrowym,</w:t>
            </w:r>
          </w:p>
          <w:p>
            <w:pPr>
              <w:pStyle w:val="BodyText"/>
              <w:rPr>
                <w:sz w:val="20"/>
                <w:szCs w:val="20"/>
              </w:rPr>
            </w:pPr>
            <w:r>
              <w:rPr>
                <w:sz w:val="20"/>
                <w:szCs w:val="20"/>
              </w:rPr>
              <w:t>- Przyciski funkcyjne na panelu przednim, zredukowana klawiatura</w:t>
            </w:r>
          </w:p>
          <w:p>
            <w:pPr>
              <w:pStyle w:val="BodyText"/>
              <w:rPr>
                <w:sz w:val="20"/>
                <w:szCs w:val="20"/>
              </w:rPr>
            </w:pPr>
            <w:r>
              <w:rPr>
                <w:sz w:val="20"/>
                <w:szCs w:val="20"/>
              </w:rPr>
              <w:t>- Możliwość wysyłania i odbierania wiadomości tekstowych,</w:t>
            </w:r>
          </w:p>
          <w:p>
            <w:pPr>
              <w:pStyle w:val="BodyText"/>
              <w:widowControl/>
              <w:suppressAutoHyphens w:val="true"/>
              <w:bidi w:val="0"/>
              <w:spacing w:lineRule="auto" w:line="240" w:before="57" w:after="57"/>
              <w:ind w:hanging="113" w:left="113" w:right="0"/>
              <w:jc w:val="left"/>
              <w:rPr>
                <w:sz w:val="20"/>
                <w:szCs w:val="20"/>
              </w:rPr>
            </w:pPr>
            <w:r>
              <w:rPr>
                <w:sz w:val="20"/>
                <w:szCs w:val="20"/>
              </w:rPr>
              <w:t>- Wizualna sygnalizacja (np. diodowa) stanów pracy radiotelefonu, w tym: wywołań, skaningu i stanów monitorowania,</w:t>
            </w:r>
          </w:p>
          <w:p>
            <w:pPr>
              <w:pStyle w:val="BodyText"/>
              <w:widowControl/>
              <w:suppressAutoHyphens w:val="true"/>
              <w:bidi w:val="0"/>
              <w:spacing w:lineRule="auto" w:line="240" w:before="57" w:after="57"/>
              <w:ind w:hanging="113" w:left="113" w:right="0"/>
              <w:jc w:val="left"/>
              <w:rPr>
                <w:sz w:val="20"/>
                <w:szCs w:val="20"/>
              </w:rPr>
            </w:pPr>
            <w:r>
              <w:rPr>
                <w:sz w:val="20"/>
                <w:szCs w:val="20"/>
              </w:rPr>
              <w:t>- Wywołanie indywidualne, grupowe, alarmowe w trybie cyfrowym z identyfikacją na wyświetlaczu korespondenta wywołującego i sygnalizacją akustyczną (z możliwością wyłączenia sygnalizacji akustycznej),</w:t>
            </w:r>
          </w:p>
          <w:p>
            <w:pPr>
              <w:pStyle w:val="BodyText"/>
              <w:rPr>
                <w:sz w:val="20"/>
                <w:szCs w:val="20"/>
              </w:rPr>
            </w:pPr>
            <w:r>
              <w:rPr>
                <w:sz w:val="20"/>
                <w:szCs w:val="20"/>
              </w:rPr>
              <w:t>- Programowalny adres IP radiotelefonu,</w:t>
            </w:r>
          </w:p>
          <w:p>
            <w:pPr>
              <w:pStyle w:val="BodyText"/>
              <w:rPr>
                <w:sz w:val="20"/>
                <w:szCs w:val="20"/>
              </w:rPr>
            </w:pPr>
            <w:r>
              <w:rPr>
                <w:sz w:val="20"/>
                <w:szCs w:val="20"/>
              </w:rPr>
              <w:t>- Radiotelefon powinien posiadać poniższe funkcje sygnalizacji:</w:t>
            </w:r>
          </w:p>
          <w:p>
            <w:pPr>
              <w:pStyle w:val="BodyText"/>
              <w:widowControl/>
              <w:suppressAutoHyphens w:val="true"/>
              <w:overflowPunct w:val="false"/>
              <w:bidi w:val="0"/>
              <w:spacing w:lineRule="auto" w:line="240" w:before="0" w:after="0"/>
              <w:ind w:hanging="0" w:left="170" w:right="0"/>
              <w:jc w:val="left"/>
              <w:rPr/>
            </w:pPr>
            <w:r>
              <w:rPr>
                <w:sz w:val="20"/>
                <w:szCs w:val="20"/>
              </w:rPr>
              <w:t>* zdalne sprawdzenie obecności radiotelefonu w sieci,</w:t>
            </w:r>
          </w:p>
          <w:p>
            <w:pPr>
              <w:pStyle w:val="BodyText"/>
              <w:widowControl/>
              <w:suppressAutoHyphens w:val="true"/>
              <w:overflowPunct w:val="false"/>
              <w:bidi w:val="0"/>
              <w:spacing w:lineRule="auto" w:line="240" w:before="0" w:after="0"/>
              <w:ind w:hanging="0" w:left="170" w:right="0"/>
              <w:jc w:val="left"/>
              <w:rPr/>
            </w:pPr>
            <w:r>
              <w:rPr>
                <w:sz w:val="20"/>
                <w:szCs w:val="20"/>
              </w:rPr>
              <w:t>* zdalny monitoring,</w:t>
            </w:r>
          </w:p>
          <w:p>
            <w:pPr>
              <w:pStyle w:val="BodyText"/>
              <w:widowControl/>
              <w:suppressAutoHyphens w:val="true"/>
              <w:overflowPunct w:val="false"/>
              <w:bidi w:val="0"/>
              <w:spacing w:lineRule="auto" w:line="240" w:before="0" w:after="0"/>
              <w:ind w:hanging="0" w:left="170" w:right="0"/>
              <w:jc w:val="left"/>
              <w:rPr/>
            </w:pPr>
            <w:r>
              <w:rPr>
                <w:sz w:val="20"/>
                <w:szCs w:val="20"/>
              </w:rPr>
              <w:t>* zdalne zablokowanie i odblokowanie radiotelefonu,</w:t>
            </w:r>
          </w:p>
          <w:p>
            <w:pPr>
              <w:pStyle w:val="BodyText"/>
              <w:rPr>
                <w:sz w:val="20"/>
                <w:szCs w:val="20"/>
              </w:rPr>
            </w:pPr>
            <w:r>
              <w:rPr>
                <w:sz w:val="20"/>
                <w:szCs w:val="20"/>
              </w:rPr>
              <w:t>- Możliwość maskowania korespondencji w trybie cyfrowym (min. 16 kluczy kodowych),</w:t>
            </w:r>
          </w:p>
          <w:p>
            <w:pPr>
              <w:pStyle w:val="BodyText"/>
              <w:widowControl/>
              <w:suppressAutoHyphens w:val="true"/>
              <w:bidi w:val="0"/>
              <w:spacing w:lineRule="auto" w:line="240" w:before="57" w:after="57"/>
              <w:ind w:hanging="113" w:left="113" w:right="0"/>
              <w:jc w:val="left"/>
              <w:rPr>
                <w:sz w:val="20"/>
                <w:szCs w:val="20"/>
              </w:rPr>
            </w:pPr>
            <w:r>
              <w:rPr>
                <w:sz w:val="20"/>
                <w:szCs w:val="20"/>
              </w:rPr>
              <w:t>- Złącze akcesoryjne – umożliwia transmisję zgodną ze standardem USB, podłączenie dodatkowego głośnika i mikrofonu, przycisku nadawania, itp.,</w:t>
            </w:r>
          </w:p>
          <w:p>
            <w:pPr>
              <w:pStyle w:val="BodyText"/>
              <w:rPr>
                <w:sz w:val="20"/>
                <w:szCs w:val="20"/>
              </w:rPr>
            </w:pPr>
            <w:r>
              <w:rPr>
                <w:sz w:val="20"/>
                <w:szCs w:val="20"/>
              </w:rPr>
              <w:t>- Wbudowany głośnik,</w:t>
            </w:r>
          </w:p>
          <w:p>
            <w:pPr>
              <w:pStyle w:val="BodyText"/>
              <w:rPr>
                <w:sz w:val="20"/>
                <w:szCs w:val="20"/>
              </w:rPr>
            </w:pPr>
            <w:r>
              <w:rPr>
                <w:sz w:val="20"/>
                <w:szCs w:val="20"/>
              </w:rPr>
              <w:t>- Menu radiotelefonu w języku polskim,</w:t>
            </w:r>
          </w:p>
          <w:p>
            <w:pPr>
              <w:pStyle w:val="BodyText"/>
              <w:rPr>
                <w:sz w:val="20"/>
                <w:szCs w:val="20"/>
              </w:rPr>
            </w:pPr>
            <w:r>
              <w:rPr>
                <w:sz w:val="20"/>
                <w:szCs w:val="20"/>
              </w:rPr>
              <w:t>- Pasmo częstotliwości pracy 136 ÷174 MHz,</w:t>
            </w:r>
          </w:p>
          <w:p>
            <w:pPr>
              <w:pStyle w:val="BodyText"/>
              <w:rPr>
                <w:sz w:val="20"/>
                <w:szCs w:val="20"/>
              </w:rPr>
            </w:pPr>
            <w:r>
              <w:rPr>
                <w:sz w:val="20"/>
                <w:szCs w:val="20"/>
              </w:rPr>
              <w:t>- Odstęp międzykanałowy: 12,5 kHz,</w:t>
            </w:r>
          </w:p>
          <w:p>
            <w:pPr>
              <w:pStyle w:val="BodyText"/>
              <w:rPr>
                <w:sz w:val="20"/>
                <w:szCs w:val="20"/>
              </w:rPr>
            </w:pPr>
            <w:r>
              <w:rPr>
                <w:sz w:val="20"/>
                <w:szCs w:val="20"/>
              </w:rPr>
              <w:t>- Czas pracy akumulatora w trybie cyfrowym/analogowym: 13,0 / 10,0 h</w:t>
            </w:r>
          </w:p>
          <w:p>
            <w:pPr>
              <w:pStyle w:val="BodyText"/>
              <w:rPr>
                <w:sz w:val="20"/>
                <w:szCs w:val="20"/>
              </w:rPr>
            </w:pPr>
            <w:r>
              <w:rPr>
                <w:sz w:val="20"/>
                <w:szCs w:val="20"/>
              </w:rPr>
              <w:t>- Akumulator Li-Ion IP68, wskazany do pracy w niskich temperaturach</w:t>
            </w:r>
          </w:p>
          <w:p>
            <w:pPr>
              <w:pStyle w:val="BodyText"/>
              <w:rPr>
                <w:sz w:val="20"/>
                <w:szCs w:val="20"/>
              </w:rPr>
            </w:pPr>
            <w:r>
              <w:rPr>
                <w:sz w:val="20"/>
                <w:szCs w:val="20"/>
              </w:rPr>
              <w:t>- Ładowarka sieciowa radiotelefonu zgodna z zastosowanym akumulatorem</w:t>
            </w:r>
          </w:p>
          <w:p>
            <w:pPr>
              <w:pStyle w:val="BodyText"/>
              <w:rPr>
                <w:sz w:val="20"/>
                <w:szCs w:val="20"/>
              </w:rPr>
            </w:pPr>
            <w:r>
              <w:rPr>
                <w:sz w:val="20"/>
                <w:szCs w:val="20"/>
              </w:rPr>
              <w:t>- Ładowarka samochodowa w zabudowie samochodu, złącze zasilania przez wtyczkę zapalniczki</w:t>
            </w:r>
          </w:p>
          <w:p>
            <w:pPr>
              <w:pStyle w:val="BodyText"/>
              <w:rPr>
                <w:sz w:val="20"/>
                <w:szCs w:val="20"/>
              </w:rPr>
            </w:pPr>
            <w:r>
              <w:rPr>
                <w:sz w:val="20"/>
                <w:szCs w:val="20"/>
              </w:rPr>
              <w:t>- Moc wyjściowa fali nośnej nadajnika programowana w całym zakresie częstotliwości od 1 W do 5W,</w:t>
            </w:r>
          </w:p>
          <w:p>
            <w:pPr>
              <w:pStyle w:val="BodyText"/>
              <w:widowControl/>
              <w:suppressAutoHyphens w:val="true"/>
              <w:bidi w:val="0"/>
              <w:spacing w:lineRule="auto" w:line="240" w:before="57" w:after="57"/>
              <w:ind w:hanging="113" w:left="113" w:right="0"/>
              <w:jc w:val="left"/>
              <w:rPr>
                <w:sz w:val="20"/>
                <w:szCs w:val="20"/>
              </w:rPr>
            </w:pPr>
            <w:r>
              <w:rPr>
                <w:sz w:val="20"/>
                <w:szCs w:val="20"/>
              </w:rPr>
              <w:t>- Możliwość ustawienia dwóch poziomów mocy dla radiotelefonu (moc niska / moc wysoka w zakresie 1 – 5W) i ustawienie jednego z nich na dowolnym kanale,</w:t>
            </w:r>
          </w:p>
          <w:p>
            <w:pPr>
              <w:pStyle w:val="BodyText"/>
              <w:rPr>
                <w:sz w:val="20"/>
                <w:szCs w:val="20"/>
              </w:rPr>
            </w:pPr>
            <w:r>
              <w:rPr>
                <w:sz w:val="20"/>
                <w:szCs w:val="20"/>
              </w:rPr>
              <w:t>- Radiotelefon musi posiadać wbudowany moduł GPS,</w:t>
            </w:r>
          </w:p>
          <w:p>
            <w:pPr>
              <w:pStyle w:val="BodyText"/>
              <w:rPr>
                <w:sz w:val="20"/>
                <w:szCs w:val="20"/>
              </w:rPr>
            </w:pPr>
            <w:r>
              <w:rPr>
                <w:sz w:val="20"/>
                <w:szCs w:val="20"/>
              </w:rPr>
              <w:t>- Możliwość zabezpieczenia parametrów konfiguracyjnych hasłem przed odczytem.</w:t>
            </w:r>
          </w:p>
          <w:p>
            <w:pPr>
              <w:pStyle w:val="BodyText"/>
              <w:rPr>
                <w:sz w:val="20"/>
                <w:szCs w:val="20"/>
              </w:rPr>
            </w:pPr>
            <w:r>
              <w:rPr>
                <w:sz w:val="20"/>
                <w:szCs w:val="20"/>
              </w:rPr>
              <w:t>- Radiotelefon musi posiadać oznaczenie CE, spełniać normę IP 54 lub równoważną</w:t>
            </w:r>
          </w:p>
          <w:p>
            <w:pPr>
              <w:pStyle w:val="BodyText"/>
              <w:rPr>
                <w:sz w:val="20"/>
                <w:szCs w:val="20"/>
              </w:rPr>
            </w:pPr>
            <w:r>
              <w:rPr>
                <w:sz w:val="20"/>
                <w:szCs w:val="20"/>
              </w:rPr>
              <w:t>- Urządzenie musi posiadać możliwość programowania poprzez kabel serwisowy.</w:t>
            </w:r>
          </w:p>
          <w:p>
            <w:pPr>
              <w:pStyle w:val="BodyText"/>
              <w:spacing w:before="57" w:after="57"/>
              <w:rPr>
                <w:sz w:val="20"/>
                <w:szCs w:val="20"/>
              </w:rPr>
            </w:pPr>
            <w:r>
              <w:rPr>
                <w:sz w:val="20"/>
                <w:szCs w:val="20"/>
              </w:rPr>
              <w:t>- Wraz z radiotelefonem należy dostarczyć kabel serwisowy do programowania oraz oprogramowanie serwisowe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Do radiotelefonu noszonego powinna być zainstalowana ładowarka akumulatorów radiotelefonu. Miejsce instalacji ładowarki powinno  znajdować się w kabinie kierowcy, na ścianie oddzielającej przedział medyczny, w miejscu zapewniającym bezpieczeństwo kierowcy ambulansu oraz łatwą obsługę radiotelefonu. Ładowarka powinna być zasilana z instalacji 12 V ambulansu. Nie dopuszcza się instalacji gniazda zasilania 12 V ładowarki radiotelefonu w podstawach foteli kierowcy i pasażera.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Pojazd wyposażony w uchwyty do bezpiecznego przewożenia urządzeń systemu SWD PRM tj. w ofercie należy uwzględnić stację dokującą do tabletu Zebra z portami USB bez gniazd antenowych .</w:t>
            </w:r>
          </w:p>
          <w:p>
            <w:pPr>
              <w:pStyle w:val="BodyText"/>
              <w:rPr>
                <w:sz w:val="20"/>
                <w:szCs w:val="20"/>
              </w:rPr>
            </w:pPr>
            <w:r>
              <w:rPr>
                <w:sz w:val="20"/>
                <w:szCs w:val="20"/>
              </w:rPr>
              <w:t>Stacja dokująca i uchwyt drukarki mają być połączone dwoma kablami USB, który w razie awarii powinien być łatwo dostępny do wymiany.</w:t>
            </w:r>
          </w:p>
          <w:p>
            <w:pPr>
              <w:pStyle w:val="BodyText"/>
              <w:rPr>
                <w:sz w:val="20"/>
                <w:szCs w:val="20"/>
              </w:rPr>
            </w:pPr>
            <w:r>
              <w:rPr>
                <w:rFonts w:cs="Calibri"/>
                <w:kern w:val="2"/>
                <w:sz w:val="20"/>
                <w:szCs w:val="20"/>
                <w:lang w:eastAsia="zh-CN" w:bidi="hi-IN"/>
              </w:rPr>
              <w:t xml:space="preserve">Zamawiający wymaga by stacja dokująca do tabletu oraz </w:t>
            </w:r>
            <w:r>
              <w:rPr>
                <w:rFonts w:cs="Calibri"/>
                <w:color w:val="000000"/>
                <w:kern w:val="2"/>
                <w:sz w:val="20"/>
                <w:szCs w:val="20"/>
                <w:lang w:eastAsia="zh-CN" w:bidi="hi-IN"/>
              </w:rPr>
              <w:t xml:space="preserve">podstawa drukarki </w:t>
            </w:r>
            <w:r>
              <w:rPr>
                <w:rFonts w:cs="Calibri"/>
                <w:kern w:val="2"/>
                <w:sz w:val="20"/>
                <w:szCs w:val="20"/>
                <w:lang w:eastAsia="zh-CN" w:bidi="hi-IN"/>
              </w:rPr>
              <w:t>były zamontowane w sposób zapewniający bezpieczeństwo załogi oraz transportowanego pacjenta.</w:t>
            </w:r>
          </w:p>
          <w:p>
            <w:pPr>
              <w:pStyle w:val="BodyText"/>
              <w:spacing w:before="57" w:after="57"/>
              <w:rPr>
                <w:sz w:val="20"/>
                <w:szCs w:val="20"/>
              </w:rPr>
            </w:pPr>
            <w:r>
              <w:rPr>
                <w:rFonts w:cs="Calibri"/>
                <w:kern w:val="2"/>
                <w:sz w:val="20"/>
                <w:szCs w:val="20"/>
                <w:lang w:eastAsia="zh-CN" w:bidi="hi-IN"/>
              </w:rPr>
              <w:t xml:space="preserve">Pojazd wyposażony w instalację elektryczną przygotowaną do zamontowania urządzeń systemu SWD PRM, Zamawiający wymaga by zasilanie w przypadku stacji dokującej było zabezpieczone i stałe (zintegrowane z instalacją elektryczną pojazdu z osobnym bezpiecznikiem), dla drukarki gniazdo 230V zasilane z </w:t>
            </w:r>
            <w:r>
              <w:rPr>
                <w:rFonts w:cs="Calibri"/>
                <w:bCs/>
                <w:kern w:val="2"/>
                <w:sz w:val="20"/>
                <w:szCs w:val="20"/>
                <w:lang w:eastAsia="zh-CN" w:bidi="hi-IN"/>
              </w:rPr>
              <w:t>przetwornicy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Drukarka EPSON EcoTank M1100/M1120</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Więcej szczegółów dotyczących wykorzystywanego sprzętu po rozstrzygnięciu postępowania i podpisaniu umowy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vAlign w:val="center"/>
          </w:tcPr>
          <w:p>
            <w:pPr>
              <w:pStyle w:val="BodyText"/>
              <w:spacing w:before="57" w:after="57"/>
              <w:jc w:val="center"/>
              <w:rPr>
                <w:b/>
                <w:bCs/>
                <w:sz w:val="20"/>
                <w:szCs w:val="20"/>
              </w:rPr>
            </w:pPr>
            <w:r>
              <w:rPr>
                <w:b/>
                <w:bCs/>
                <w:sz w:val="20"/>
                <w:szCs w:val="20"/>
              </w:rPr>
              <w:t>XI.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DODATKOWE WYPOSAŻENIE POJAZDU</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Komplet (4 szt.) oryginalnych chlapaczy kół (przód oraz tył)</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Dodatkowa gaśnica min. 1 kg środka gaśniczego wraz z uchwytem mocującym, zamontowana  w przedziale medycznym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fa-IR" w:bidi="fa-IR"/>
              </w:rPr>
              <w:t xml:space="preserve">Urządzenie do wybijania szyb i do cięcia pasów w przedziale medycznym i kabinie kierowcy. </w:t>
            </w:r>
            <w:r>
              <w:rPr>
                <w:rFonts w:cs="Calibri"/>
                <w:b/>
                <w:bCs/>
                <w:kern w:val="2"/>
                <w:sz w:val="20"/>
                <w:szCs w:val="20"/>
                <w:lang w:eastAsia="fa-IR" w:bidi="fa-IR"/>
              </w:rPr>
              <w:t>Uwaga</w:t>
            </w:r>
            <w:r>
              <w:rPr>
                <w:rFonts w:cs="Calibri"/>
                <w:kern w:val="2"/>
                <w:sz w:val="20"/>
                <w:szCs w:val="20"/>
                <w:lang w:eastAsia="fa-IR" w:bidi="fa-IR"/>
              </w:rPr>
              <w:t>: n</w:t>
            </w:r>
            <w:r>
              <w:rPr>
                <w:kern w:val="2"/>
                <w:sz w:val="20"/>
                <w:szCs w:val="20"/>
              </w:rPr>
              <w:t>óż  i młotek nie powinny być zamocowane tuż przy fotelu bocznym – możliwość niekontrolowanego użycia przez pacjenta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 kabinie kierowcy przenośny szperacz akumulatorowo sieciowy z możliwością ładowania w ambulansie wyposażony w światło LED</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949"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fa-IR" w:bidi="fa-IR"/>
              </w:rPr>
              <w:t xml:space="preserve">Trójkąt ostrzegawczy, komplet kluczy do zmiany kół, </w:t>
            </w:r>
            <w:r>
              <w:rPr>
                <w:rFonts w:cs="Calibri"/>
                <w:color w:val="000000"/>
                <w:sz w:val="20"/>
                <w:szCs w:val="20"/>
                <w:lang w:eastAsia="fa-IR" w:bidi="fa-IR"/>
              </w:rPr>
              <w:t>2 x pacho</w:t>
            </w:r>
            <w:r>
              <w:rPr>
                <w:color w:val="000000"/>
                <w:sz w:val="20"/>
                <w:szCs w:val="20"/>
              </w:rPr>
              <w:t>łek rozkładany do zabezpieczenia miejsca prowadzenia akcji, łopata, saperka składana</w:t>
            </w:r>
            <w:r>
              <w:rPr>
                <w:sz w:val="20"/>
                <w:szCs w:val="20"/>
              </w:rPr>
              <w:t>, łańcuchy śniegowe na koła, łom, pokrowce na siedzenia w kabinie kierowcy, 2 x kamizelka odblaskowa</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Komplet dywaników gumowych w kabinie kierowcy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Zbiornik paliwa w ambulansie przy odbiorze ma być napełniony powyżej stanu ,,rezerwy”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u w:val="none"/>
                <w:shd w:fill="auto" w:val="clear"/>
              </w:rPr>
              <w:t>Zestaw 4 szt. kół wraz z oponami zimowymi w klasie Premium.</w:t>
            </w:r>
            <w:r>
              <w:rPr>
                <w:sz w:val="20"/>
                <w:szCs w:val="20"/>
                <w:u w:val="none"/>
                <w:shd w:fill="FFBF00" w:val="clear"/>
              </w:rPr>
              <w:br/>
            </w:r>
            <w:r>
              <w:rPr>
                <w:sz w:val="20"/>
                <w:szCs w:val="20"/>
                <w:u w:val="none"/>
              </w:rPr>
              <w:t>Jeżeli ambulans fabrycznie będzie wyposażony w opony letnie to dodatkowo Wykonawca dostarczy koła zimowe. Jeżeli będzie wyposażony w koła zimowe, Wykonawca dostarczy koła letnie z oponami w klasie Premium.</w:t>
              <w:br/>
              <w:t>Zamawiający wymaga aby opony klasy Premium spełniały następujące minimalne parametry techniczne:</w:t>
              <w:br/>
              <w:t>Opony zimowe:</w:t>
              <w:br/>
            </w:r>
            <w:r>
              <w:rPr>
                <w:sz w:val="20"/>
                <w:szCs w:val="20"/>
                <w:u w:val="none"/>
                <w:shd w:fill="auto" w:val="clear"/>
              </w:rPr>
              <w:t>- indeks prędkości: klasa R</w:t>
              <w:br/>
              <w:t>- droga hamowania na mokrej nawierzchni : klasa B</w:t>
              <w:br/>
              <w:t>- efektywność paliwowa: klasa D</w:t>
              <w:br/>
              <w:t>- hałas zewnętrzny: klasa: B</w:t>
            </w:r>
          </w:p>
          <w:p>
            <w:pPr>
              <w:pStyle w:val="BodyText"/>
              <w:spacing w:before="57" w:after="57"/>
              <w:rPr>
                <w:sz w:val="20"/>
                <w:szCs w:val="20"/>
              </w:rPr>
            </w:pPr>
            <w:r>
              <w:rPr>
                <w:sz w:val="20"/>
                <w:szCs w:val="20"/>
                <w:u w:val="none"/>
                <w:shd w:fill="auto" w:val="clear"/>
              </w:rPr>
              <w:t>Opony letnie:</w:t>
            </w:r>
            <w:r>
              <w:rPr>
                <w:sz w:val="20"/>
                <w:szCs w:val="20"/>
                <w:u w:val="none"/>
                <w:shd w:fill="FFBF00" w:val="clear"/>
              </w:rPr>
              <w:br/>
            </w:r>
            <w:r>
              <w:rPr>
                <w:sz w:val="20"/>
                <w:szCs w:val="20"/>
                <w:u w:val="none"/>
                <w:shd w:fill="auto" w:val="clear"/>
              </w:rPr>
              <w:t>- indeks prędkości: klasa R</w:t>
              <w:br/>
              <w:t>- droga hamowania na mokrej nawierzchni : klasa A</w:t>
              <w:br/>
              <w:t>- efektywność paliwowa: klasa B</w:t>
              <w:br/>
              <w:t>- hałas zewnętrzny: klasa: B</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Wideorejestrator umożliwiający nagrywanie obrazu z kamery przedniej (minimalna rozdzielczość FULL HD) </w:t>
              <w:br/>
              <w:t xml:space="preserve">oraz tylnej, z gwarantowanym zapisem dobrej jakości w trybie nocnym oraz zapisem w trybie parkingowym (podtrzymanie napięcia przez wbudowany akumulator) z dostarczoną kartą pamięci o wymaganych minimalnych </w:t>
            </w:r>
            <w:r>
              <w:rPr>
                <w:sz w:val="20"/>
                <w:szCs w:val="20"/>
                <w:shd w:fill="auto" w:val="clear"/>
              </w:rPr>
              <w:t xml:space="preserve">parametrach technicznych: </w:t>
              <w:br/>
              <w:t xml:space="preserve">karta micro SDXC 256 GB 190/130 MB/s (odczyt/zapis) minimalna klasa VSC V30 </w:t>
              <w:br/>
              <w:t xml:space="preserve">Wideorejestrator powinien być podłączony do gniazda zasilania umieszczonego w miejscu niewidocznym i w taki sposób aby uruchamiał zapis podstawowy (inny niż tryb parkingowy) dopiero w momencie przekręcenia kluczyka w stacyjce pojazdu. </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Fabryczne czujniki cofania z sygnalizacją dźwiękową i wizualizacją na desce rozdzielczej</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Elektroniczny odstraszacz  kun i gryzoni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System monitorowania martwego pola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XII.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TRANSPORTER NOSZY GŁÓWNYCH</w:t>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Z systemem szybkiego i bezpiecznego połączenia z noszami, umożliwiający wprowadzenie noszy przodem i tyłem do kierunku jazdy </w:t>
            </w:r>
            <w:r>
              <w:rPr>
                <w:sz w:val="20"/>
                <w:szCs w:val="20"/>
                <w:shd w:fill="auto" w:val="clear"/>
              </w:rPr>
              <w:t>oraz funkcją odblokowywania goleni.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Regulację wysokości w min. 6 poziomach</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Możliwość ustawienia pozycji drenażowych Trendelenburga i Fowlera na min. 3 poziomach pochylenia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color w:val="000000"/>
                <w:sz w:val="20"/>
                <w:szCs w:val="20"/>
              </w:rPr>
              <w:t>Wyposażony w min. 4 kółka obrotowe, skrętne w zakresie 360</w:t>
            </w:r>
            <w:r>
              <w:rPr>
                <w:sz w:val="20"/>
                <w:szCs w:val="20"/>
              </w:rPr>
              <w:t>°</w:t>
            </w:r>
            <w:r>
              <w:rPr>
                <w:color w:val="000000"/>
                <w:sz w:val="20"/>
                <w:szCs w:val="20"/>
              </w:rPr>
              <w:t xml:space="preserve">, umożliwiające prowadzenia noszy bokiem do kierunku jazdy przez 1 osobę, </w:t>
            </w:r>
            <w:r>
              <w:rPr>
                <w:sz w:val="20"/>
                <w:szCs w:val="20"/>
              </w:rPr>
              <w:t>kółka umożliwiające jazdę zarówno w pomieszczeniach zamkniętych jak i na utwardzonych nawierzchniach (na otwartych przestrzeniach), z blokadą przednich kółek do jazdy na wprost</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Minimum dwa koła wyposażone w hamulce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Koła transportera o średnicy min. 195 mm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Obciążenie dopuszczalne transportera powyżej 200 kg (podać dopuszczalne obciążenie w kg)</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Wysuwane rękojeści transportera.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Waga transportera max. 28 kg zgodnie z wymogami normy PN EN 1865 (podać wagę transportera w kg)</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Trwale oznakowane najlepiej graficznie elementów związanych z ich obsługą</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Wykonany z materiału odpornego na korozję lub z materiału zabezpieczonego przed korozją</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Deklaracje zgodności oraz certyfikat zgodności z normą PN EN 1789 oraz PN EN 1865 lub równoważną wystawiony przez niezależną jednostkę notyfikowaną na oferowany system transportowy – załączyć do oferty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XIII.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NOSZE GŁÓWNE</w:t>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Przystosowane do prowadzenia reanimacji, wyposażone w twardą płytę na całej długości pod materacem umożliwiającą ustawienie wszystkich dostępnych funkcji; z materacem konturowym profilowanym stabilizującym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Potrójnie łamane z możliwością ustawienia pozycji przeciwwstrząsowej i pozycji zmniejszającej napięcie mięśni brzucha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 możliwością płynnej regulacji kąta nachylenia oparcia pod plecami powyżej do min. 75 stopni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Bezstopniowy system podnoszenia oparcia nóg i kolan</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Rama noszy wykonana z profili o przekroju prostokątnym lub okrągłym, podwyższającym wytrzymałość na ekstremalne obciążenia, pod głową pacjenta umożliwiająca odgięcie głowy do tyłu, przygięcie głowy do klatki piersiowej, ułożenie na wznak</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 zestawem pasów zabezpieczających pacjenta o regulowanej długości mocowanych bezpośrednio do ramy noszy. Zestaw pasów szelkowe i poprzeczne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Zestaw pasów lub uprzęży służący do transportu małych dzieci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Trwale oznakowane najlepiej graficznie elementy związane z ich obsługą</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Z poręczami bocznymi składanymi w sposób ergonomiczny wzdłużnie do osi wzdłużnej noszy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Wysuwane lub rozkładane rączki do przenoszenia umieszczone z przodu i z tyłu noszy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Możliwość wprowadzania noszy na transporter przodem lub tyłem do kierunku jazdy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Składany teleskopowo wieszak na pojemnik z płynami infuzyjnymi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color w:val="000000"/>
                <w:sz w:val="20"/>
                <w:szCs w:val="20"/>
              </w:rPr>
              <w:t>Zabezpieczone przed korozją poprzez wykonanie ich z odpowiedniego materiału lub poprzez zabezpieczenie ich środkami antykorozyjnymi</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Pokrycia noszy wykonane z materiału odpornego na bakterie, grzyby, plamy i zgniliznę, łatwego do czyszczenia, zmywalnego, odpornego na wodę, olej napędowy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Wyposażone w prześcieradło jednorazowe do noszy z wycięciami na pasy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Waga noszy max 23 kg zgodna z normami PN EN 1865 lub równoważna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Obciążenie dopuszczalne noszy min. 220 kg (podać obciążenie dopuszczalne w kg)</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Certyfikat zgodności wystawiony przez niezależną jednostkę notyfikowaną potwierdzający spełnienie przez nosze wymogów zharmonizowanych, aktualnych norm PN EN 1789 lub normy równoważnej oraz PN EN 1865 lub normy równoważnej – załączyć do oferty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170"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b/>
                <w:bCs/>
                <w:sz w:val="20"/>
                <w:szCs w:val="20"/>
              </w:rPr>
              <w:t>XIV</w:t>
            </w:r>
            <w:r>
              <w:rPr>
                <w:sz w:val="20"/>
                <w:szCs w:val="20"/>
              </w:rPr>
              <w:t>.</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SPRZĘT INNY</w:t>
            </w:r>
          </w:p>
        </w:tc>
      </w:tr>
      <w:tr>
        <w:trPr>
          <w:trHeight w:val="887"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Urządzenie do bezpiecznego oczyszczania powietrza w karetce w technologii jonizacyjno – plazmowej wbudowane w pojazd lub umożliwiające montaż w pojeździe – na uchwycie montażowym zgodnym z EN 1789:2020. Filtry wymieniane przez użytkownika oraz serwis. Zasilanie z instalacji 12 V DC ambulansu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b/>
                <w:bCs/>
                <w:sz w:val="20"/>
                <w:szCs w:val="20"/>
              </w:rPr>
            </w:pPr>
            <w:r>
              <w:rPr>
                <w:b/>
                <w:bCs/>
                <w:sz w:val="20"/>
                <w:szCs w:val="20"/>
              </w:rPr>
              <w:t>XV.</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SERWIS</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Serwis pojazdu bazowego realizowany w najbliższej ASO oferowanej marki ambulansu lub innej wskazanej przez Zamawiającego – koszt po stronie Wykonawcy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Serwis zabudowy specjalnej sanitarnej w okresie gwarancji (łącznie z wymaganymi okresowymi przeglądami zabudowy sanitarnej) realizowany w siedzibie Zamawiającego – koszt po stronie Wykonawcy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fa-IR" w:bidi="fa-IR"/>
              </w:rPr>
              <w:t xml:space="preserve">Reakcja serwisu zabudowy specjalnej sanitarnej w okresie gwarancji na zgłoszoną awarię w dni robocze w ciągu max. 48 godzin od jej zgłoszenia tzn. rozpoczęcie naprawy </w:t>
            </w:r>
            <w:r>
              <w:rPr>
                <w:rFonts w:cs="Calibri"/>
                <w:sz w:val="20"/>
                <w:szCs w:val="20"/>
                <w:u w:val="single"/>
                <w:lang w:eastAsia="fa-IR" w:bidi="fa-IR"/>
              </w:rPr>
              <w:t>w siedzibie Zamawiającego</w:t>
            </w:r>
            <w:r>
              <w:rPr>
                <w:rFonts w:cs="Calibri"/>
                <w:sz w:val="20"/>
                <w:szCs w:val="20"/>
                <w:lang w:eastAsia="fa-IR" w:bidi="fa-IR"/>
              </w:rPr>
              <w:t xml:space="preserve"> w czasie nie dłuższym jak max. 48 godziny od zgłoszenia (wymóg minimalny)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Gwarancja dostarczenia w ciągu max. 48 godzin do siedziby Zamawiającego ambulansu zastępczego spełniającego wymagania ambulansu min. typu B, jeśli czas naprawy ambulansu (pojazdu bazowego lub zabudowy), który uległ awarii będzie wynosił minimum 5 dni. (podać z dokładnością do 1 godziny)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Możliwość wymiany oleju silnikowego co 20 000 km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b/>
                <w:bCs/>
                <w:sz w:val="20"/>
                <w:szCs w:val="20"/>
              </w:rPr>
              <w:t>XVI.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bidi w:val="0"/>
              <w:spacing w:lineRule="auto" w:line="240" w:before="57" w:after="57"/>
              <w:ind w:hanging="0" w:left="0" w:right="3969"/>
              <w:jc w:val="center"/>
              <w:rPr>
                <w:b/>
                <w:bCs/>
                <w:sz w:val="20"/>
                <w:szCs w:val="20"/>
              </w:rPr>
            </w:pPr>
            <w:r>
              <w:rPr>
                <w:b/>
                <w:bCs/>
                <w:sz w:val="20"/>
                <w:szCs w:val="20"/>
              </w:rPr>
              <w:t>GWARANCJA</w:t>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Gwarancja mechaniczna - min. 48 miesięcy (bez limitu km)</w:t>
            </w:r>
          </w:p>
          <w:p>
            <w:pPr>
              <w:pStyle w:val="BodyText"/>
              <w:spacing w:before="57" w:after="57"/>
              <w:rPr>
                <w:sz w:val="20"/>
                <w:szCs w:val="20"/>
              </w:rPr>
            </w:pPr>
            <w:r>
              <w:rPr>
                <w:rFonts w:cs="Calibri"/>
                <w:sz w:val="20"/>
                <w:szCs w:val="20"/>
                <w:lang w:eastAsia="ar-SA"/>
              </w:rPr>
              <w:t>Przeglądy okresowe samochodu bazowego dotyczące np. wymiany oleju, klocków, filtrów itd. w okresie gwarancji pokrywa Wykonawca (łącznie z materiałami zużywalnymi) . Gwarancja obejmuje 24 miesięczny pakiet przeglądów samochodu bazowego w najbliższym ASO.</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25"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Gwarancja na powłoki lakiernicze ambulansu – min. </w:t>
            </w:r>
            <w:r>
              <w:rPr>
                <w:rFonts w:cs="Calibri"/>
                <w:b/>
                <w:bCs/>
                <w:sz w:val="20"/>
                <w:szCs w:val="20"/>
                <w:lang w:eastAsia="ar-SA"/>
              </w:rPr>
              <w:t>36 miesięcy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Gwarancja na perforację korozyjną elementów nadwozia – min. </w:t>
            </w:r>
            <w:r>
              <w:rPr>
                <w:rFonts w:cs="Calibri"/>
                <w:b/>
                <w:bCs/>
                <w:sz w:val="20"/>
                <w:szCs w:val="20"/>
                <w:lang w:eastAsia="ar-SA"/>
              </w:rPr>
              <w:t>84 miesięcy</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Gwarancja na zabudowę medyczną – </w:t>
            </w:r>
            <w:r>
              <w:rPr>
                <w:rFonts w:cs="Calibri"/>
                <w:b/>
                <w:bCs/>
                <w:sz w:val="20"/>
                <w:szCs w:val="20"/>
                <w:lang w:eastAsia="ar-SA"/>
              </w:rPr>
              <w:t>min. 24 miesiące</w:t>
            </w:r>
          </w:p>
          <w:p>
            <w:pPr>
              <w:pStyle w:val="BodyText"/>
              <w:spacing w:before="57" w:after="57"/>
              <w:rPr>
                <w:sz w:val="20"/>
                <w:szCs w:val="20"/>
              </w:rPr>
            </w:pPr>
            <w:r>
              <w:rPr>
                <w:sz w:val="20"/>
                <w:szCs w:val="20"/>
              </w:rPr>
              <w:t>Wymagane przeglądy techniczne i naprawy gwarancyjne odbywają się na koszt Wykonawcy w siedzibie Zamawiającego (min. 2 w okresie gwarancji)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rFonts w:cs="Calibri"/>
                <w:sz w:val="20"/>
                <w:szCs w:val="20"/>
                <w:lang w:eastAsia="ar-SA"/>
              </w:rPr>
              <w:t xml:space="preserve">Gwarancja na sprzęt medyczny – </w:t>
            </w:r>
            <w:r>
              <w:rPr>
                <w:rFonts w:cs="Calibri"/>
                <w:b/>
                <w:bCs/>
                <w:sz w:val="20"/>
                <w:szCs w:val="20"/>
                <w:lang w:eastAsia="ar-SA"/>
              </w:rPr>
              <w:t>min. 24 miesiące.</w:t>
            </w:r>
          </w:p>
          <w:p>
            <w:pPr>
              <w:pStyle w:val="BodyText"/>
              <w:spacing w:before="57" w:after="57"/>
              <w:rPr>
                <w:sz w:val="20"/>
                <w:szCs w:val="20"/>
              </w:rPr>
            </w:pPr>
            <w:r>
              <w:rPr>
                <w:rFonts w:cs="Calibri"/>
                <w:sz w:val="20"/>
                <w:szCs w:val="20"/>
                <w:lang w:eastAsia="ar-SA"/>
              </w:rPr>
              <w:t>Wymagane przeglądy techniczne i naprawy gwarancyjne sprzętu medycznego odbywają się na koszt Wykonawcy w siedzibie Zamawiającego (min. 2 w okresie gwarancji)</w:t>
            </w:r>
          </w:p>
        </w:tc>
        <w:tc>
          <w:tcPr>
            <w:tcW w:w="400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 przypadku trzykrotnej naprawy gwarancyjnej przedmiotu zamówienia Wykonawca zobowiązany jest wymienić wadliwy element zamówienia na nowy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b/>
                <w:bCs/>
                <w:sz w:val="20"/>
                <w:szCs w:val="20"/>
              </w:rPr>
              <w:t>XVII.</w:t>
            </w:r>
          </w:p>
        </w:tc>
        <w:tc>
          <w:tcPr>
            <w:tcW w:w="13389" w:type="dxa"/>
            <w:gridSpan w:val="2"/>
            <w:tcBorders>
              <w:left w:val="single" w:sz="4" w:space="0" w:color="000000"/>
              <w:bottom w:val="single" w:sz="4" w:space="0" w:color="000000"/>
              <w:right w:val="single" w:sz="4" w:space="0" w:color="000000"/>
            </w:tcBorders>
            <w:shd w:color="auto" w:fill="FFFFFF" w:val="clear"/>
            <w:vAlign w:val="center"/>
          </w:tcPr>
          <w:p>
            <w:pPr>
              <w:pStyle w:val="BodyText"/>
              <w:widowControl/>
              <w:suppressAutoHyphens w:val="true"/>
              <w:overflowPunct w:val="false"/>
              <w:bidi w:val="0"/>
              <w:spacing w:lineRule="auto" w:line="240" w:before="57" w:after="57"/>
              <w:ind w:hanging="0" w:left="0" w:right="4025"/>
              <w:jc w:val="center"/>
              <w:rPr>
                <w:b/>
                <w:bCs/>
                <w:sz w:val="20"/>
                <w:szCs w:val="20"/>
              </w:rPr>
            </w:pPr>
            <w:r>
              <w:rPr>
                <w:b/>
                <w:bCs/>
                <w:sz w:val="20"/>
                <w:szCs w:val="20"/>
              </w:rPr>
              <w:t>DOKUMENTY WYMAGANE</w:t>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Wyciąg ze świadectwa homologacji dla pojazdu bazowego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Świadectwo homologacji na oferowany pojazd skompletowany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Instrukcja obsługi pojazdu bazowego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Książka obsługi (przeglądów) pojazdu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Instrukcja obsługi i konserwacji urządzeń przedziału medycznego wraz z pokazaniem ich rozmieszczenia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Instrukcja obsługi i konserwacji noszy głównych</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Instrukcja obsługi i konserwacji transportera i podstawy noszy</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Instrukcja obsługi i konserwacji panelu przedziału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highlight w:val="none"/>
                <w:shd w:fill="auto" w:val="clear"/>
              </w:rPr>
            </w:pPr>
            <w:r>
              <w:rPr>
                <w:sz w:val="20"/>
                <w:szCs w:val="20"/>
                <w:shd w:fill="auto" w:val="clear"/>
              </w:rPr>
              <w:t>Instrukcja obsługi panelu dozowania tlenu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Instrukcja obsługi zespolonego urządzenia sygnalizacyjnego (dźwiękowego i świetlnego - belka)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Instrukcja obsługi wideorejestratora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Pozostałe instrukcje do wszystkich elementów zabudowy specjalistycznej na zewnątrz i wewnątrz pojazdu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Pozostałe instrukcje obsługi pojazdu i urządzeń zamontowanych w ambulansie</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Karta gwarancyjna pojazdu bazowego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15</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Karta gwarancyjna zabudowy przedziału medycznego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16</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Karty gwarancyjne noszy głównych oraz transportera</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17</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Karta gwarancyjna zespolonego urządzenia sygnalizacyjnego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18</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Karta gwarancyjna lampy ostrzegawczej tylnej</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19</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Pozostałe karty gwarancyjne na elementy zabudowy specjalistycznej ambulansu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20</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Paszporty techniczne na wszystkie urządzenia (dostarczone z ambulansem) wymagane prawem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21</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Foldery wraz z opisem</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22</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color w:val="000000"/>
                <w:sz w:val="20"/>
                <w:szCs w:val="20"/>
              </w:rPr>
              <w:t>Schemat elektryczny i montażowy dodatkowych instalacji ambulansu – schemat rozmieszczenia przekaźników i bezpieczników chroniących instalacje elektryczne ambulansu</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23</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Wykaz łącznie z adresami, zlokalizowanych najbliżej siedziby Zamawiającego, autoryzowanych stacji obsług i napraw gwarancyjnych pojazdu bazowego</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r>
        <w:trPr>
          <w:trHeight w:val="268" w:hRule="atLeast"/>
        </w:trPr>
        <w:tc>
          <w:tcPr>
            <w:tcW w:w="629"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jc w:val="center"/>
              <w:rPr>
                <w:sz w:val="20"/>
                <w:szCs w:val="20"/>
              </w:rPr>
            </w:pPr>
            <w:r>
              <w:rPr>
                <w:sz w:val="20"/>
                <w:szCs w:val="20"/>
              </w:rPr>
              <w:t>24</w:t>
            </w:r>
          </w:p>
        </w:tc>
        <w:tc>
          <w:tcPr>
            <w:tcW w:w="9385"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t xml:space="preserve">Schemat instalacji elektrycznej oraz opis rozmieszczenia bezpieczników, przekaźników i czujników temperatury,  </w:t>
              <w:br/>
              <w:t xml:space="preserve">czytelnie podana lista bezpieczników dedykowanych pod konkretne gniazdo zasilania w przedziale medycznym, </w:t>
            </w:r>
          </w:p>
        </w:tc>
        <w:tc>
          <w:tcPr>
            <w:tcW w:w="4004" w:type="dxa"/>
            <w:tcBorders>
              <w:left w:val="single" w:sz="4" w:space="0" w:color="000000"/>
              <w:bottom w:val="single" w:sz="4" w:space="0" w:color="000000"/>
              <w:right w:val="single" w:sz="4" w:space="0" w:color="000000"/>
            </w:tcBorders>
            <w:shd w:color="auto" w:fill="FFFFFF" w:val="clear"/>
            <w:vAlign w:val="center"/>
          </w:tcPr>
          <w:p>
            <w:pPr>
              <w:pStyle w:val="BodyText"/>
              <w:spacing w:before="57" w:after="57"/>
              <w:rPr>
                <w:sz w:val="20"/>
                <w:szCs w:val="20"/>
              </w:rPr>
            </w:pPr>
            <w:r>
              <w:rPr>
                <w:sz w:val="20"/>
                <w:szCs w:val="20"/>
              </w:rPr>
            </w:r>
          </w:p>
        </w:tc>
      </w:tr>
    </w:tbl>
    <w:p>
      <w:pPr>
        <w:pStyle w:val="Normal"/>
        <w:spacing w:lineRule="auto" w:line="240"/>
        <w:rPr/>
      </w:pPr>
      <w:r>
        <w:rPr/>
      </w:r>
    </w:p>
    <w:p>
      <w:pPr>
        <w:pStyle w:val="Normal"/>
        <w:rPr>
          <w:rFonts w:ascii="Times New Roman" w:hAnsi="Times New Roman"/>
          <w:sz w:val="20"/>
          <w:szCs w:val="20"/>
          <w:lang w:bidi="fa-IR"/>
        </w:rPr>
      </w:pPr>
      <w:r>
        <w:rPr>
          <w:rFonts w:ascii="Times New Roman" w:hAnsi="Times New Roman"/>
          <w:sz w:val="20"/>
          <w:szCs w:val="20"/>
          <w:lang w:bidi="fa-IR"/>
        </w:rPr>
        <w:t>** jeżeli parametry są identyczne jak w kolumnie 2, w tej kolumnie wystarczy wpisać „TAK lub „zgodnie z SWZ”, w przypadku gdy wartość jest mniejsza niż minimalna –niższa/wyższa – należy wpisać „NIE” i podać oferowaną wartość</w:t>
      </w:r>
    </w:p>
    <w:p>
      <w:pPr>
        <w:pStyle w:val="Normal"/>
        <w:spacing w:lineRule="auto" w:line="240"/>
        <w:rPr/>
      </w:pPr>
      <w:r>
        <w:rPr/>
      </w:r>
    </w:p>
    <w:p>
      <w:pPr>
        <w:pStyle w:val="Normal"/>
        <w:spacing w:lineRule="auto" w:line="240"/>
        <w:rPr/>
      </w:pPr>
      <w:r>
        <w:rPr>
          <w:rFonts w:ascii="Times New Roman" w:hAnsi="Times New Roman"/>
          <w:lang w:eastAsia="fa-IR" w:bidi="fa-IR"/>
        </w:rPr>
        <w:tab/>
        <w:tab/>
        <w:tab/>
        <w:tab/>
        <w:tab/>
        <w:tab/>
        <w:tab/>
        <w:tab/>
        <w:tab/>
        <w:tab/>
        <w:tab/>
        <w:tab/>
        <w:tab/>
      </w:r>
      <w:r>
        <w:rPr>
          <w:rFonts w:ascii="Times New Roman" w:hAnsi="Times New Roman"/>
          <w:sz w:val="18"/>
          <w:szCs w:val="18"/>
          <w:lang w:eastAsia="fa-IR" w:bidi="fa-IR"/>
        </w:rPr>
        <w:t>………………………………………………………..</w:t>
      </w:r>
    </w:p>
    <w:p>
      <w:pPr>
        <w:pStyle w:val="Normal"/>
        <w:spacing w:lineRule="auto" w:line="240" w:before="0" w:after="200"/>
        <w:rPr>
          <w:sz w:val="18"/>
          <w:szCs w:val="18"/>
        </w:rPr>
      </w:pPr>
      <w:r>
        <w:rPr>
          <w:rFonts w:ascii="Times New Roman" w:hAnsi="Times New Roman"/>
          <w:sz w:val="18"/>
          <w:szCs w:val="18"/>
          <w:lang w:eastAsia="fa-IR" w:bidi="fa-IR"/>
        </w:rPr>
        <w:tab/>
        <w:tab/>
        <w:tab/>
        <w:tab/>
        <w:tab/>
        <w:tab/>
        <w:tab/>
        <w:tab/>
        <w:tab/>
        <w:tab/>
        <w:tab/>
        <w:tab/>
        <w:tab/>
        <w:tab/>
        <w:tab/>
        <w:t>(podpis Wykonawcy)</w:t>
      </w:r>
    </w:p>
    <w:sectPr>
      <w:headerReference w:type="even" r:id="rId2"/>
      <w:headerReference w:type="default" r:id="rId3"/>
      <w:headerReference w:type="first" r:id="rId4"/>
      <w:type w:val="nextPage"/>
      <w:pgSz w:orient="landscape" w:w="16838" w:h="11906"/>
      <w:pgMar w:left="1417" w:right="1417" w:gutter="0" w:header="544" w:top="1286"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mbria">
    <w:charset w:val="ee"/>
    <w:family w:val="roman"/>
    <w:pitch w:val="variable"/>
  </w:font>
  <w:font w:name="Times New Roman">
    <w:charset w:val="ee"/>
    <w:family w:val="roman"/>
    <w:pitch w:val="variable"/>
  </w:font>
  <w:font w:name="Tahoma">
    <w:charset w:val="ee"/>
    <w:family w:val="roman"/>
    <w:pitch w:val="variable"/>
  </w:font>
  <w:font w:name="OpenSymbol">
    <w:altName w:val="Arial Unicode MS"/>
    <w:charset w:val="ee"/>
    <w:family w:val="roman"/>
    <w:pitch w:val="variable"/>
  </w:font>
  <w:font w:name="Liberation Sans">
    <w:altName w:val="Arial"/>
    <w:charset w:val="ee"/>
    <w:family w:val="roman"/>
    <w:pitch w:val="variable"/>
  </w:font>
  <w:font w:name="Arial">
    <w:charset w:val="ee"/>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1"/>
      <w:rPr/>
    </w:pPr>
    <w:r>
      <w:rPr/>
    </w:r>
  </w:p>
  <w:p>
    <w:pPr>
      <w:pStyle w:val="Header1"/>
      <w:jc w:val="center"/>
      <w:rPr>
        <w:rFonts w:ascii="Times New Roman" w:hAnsi="Times New Roman"/>
        <w:sz w:val="20"/>
        <w:szCs w:val="20"/>
      </w:rPr>
    </w:pPr>
    <w:r>
      <w:rPr>
        <w:rFonts w:ascii="Times New Roman" w:hAnsi="Times New Roman"/>
        <w:sz w:val="20"/>
        <w:szCs w:val="20"/>
      </w:rPr>
      <w:t xml:space="preserve">Nr postępowania: SPPR – </w:t>
    </w:r>
    <w:r>
      <w:rPr>
        <w:rFonts w:ascii="Times New Roman" w:hAnsi="Times New Roman"/>
        <w:sz w:val="20"/>
        <w:szCs w:val="20"/>
        <w:shd w:fill="auto" w:val="clear"/>
      </w:rPr>
      <w:t>ZP/</w:t>
    </w:r>
    <w:r>
      <w:rPr>
        <w:rFonts w:ascii="Times New Roman" w:hAnsi="Times New Roman"/>
        <w:sz w:val="20"/>
        <w:szCs w:val="20"/>
        <w:shd w:fill="auto" w:val="clear"/>
      </w:rPr>
      <w:t>4</w:t>
    </w:r>
    <w:r>
      <w:rPr>
        <w:rFonts w:ascii="Times New Roman" w:hAnsi="Times New Roman"/>
        <w:sz w:val="20"/>
        <w:szCs w:val="20"/>
        <w:shd w:fill="auto" w:val="clear"/>
      </w:rPr>
      <w:t>/2026</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1"/>
      <w:rPr/>
    </w:pPr>
    <w:r>
      <w:rPr/>
    </w:r>
  </w:p>
  <w:p>
    <w:pPr>
      <w:pStyle w:val="Header1"/>
      <w:jc w:val="center"/>
      <w:rPr>
        <w:rFonts w:ascii="Times New Roman" w:hAnsi="Times New Roman"/>
        <w:sz w:val="20"/>
        <w:szCs w:val="20"/>
      </w:rPr>
    </w:pPr>
    <w:r>
      <w:rPr>
        <w:rFonts w:ascii="Times New Roman" w:hAnsi="Times New Roman"/>
        <w:sz w:val="20"/>
        <w:szCs w:val="20"/>
      </w:rPr>
      <w:t xml:space="preserve">Nr postępowania: SPPR – </w:t>
    </w:r>
    <w:r>
      <w:rPr>
        <w:rFonts w:ascii="Times New Roman" w:hAnsi="Times New Roman"/>
        <w:sz w:val="20"/>
        <w:szCs w:val="20"/>
        <w:shd w:fill="auto" w:val="clear"/>
      </w:rPr>
      <w:t>ZP/</w:t>
    </w:r>
    <w:r>
      <w:rPr>
        <w:rFonts w:ascii="Times New Roman" w:hAnsi="Times New Roman"/>
        <w:sz w:val="20"/>
        <w:szCs w:val="20"/>
        <w:shd w:fill="auto" w:val="clear"/>
      </w:rPr>
      <w:t>4</w:t>
    </w:r>
    <w:r>
      <w:rPr>
        <w:rFonts w:ascii="Times New Roman" w:hAnsi="Times New Roman"/>
        <w:sz w:val="20"/>
        <w:szCs w:val="20"/>
        <w:shd w:fill="auto" w:val="clear"/>
      </w:rPr>
      <w:t>/2026</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embedSystemFonts/>
  <w:defaultTabStop w:val="708"/>
  <w:autoHyphenation w:val="true"/>
  <w:doNotHyphenateCaps/>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pl-PL" w:eastAsia="pl-PL"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76" w:before="0" w:after="200"/>
      <w:jc w:val="left"/>
    </w:pPr>
    <w:rPr>
      <w:rFonts w:ascii="Calibri" w:hAnsi="Calibri" w:eastAsia="Calibri" w:cs="Times New Roman"/>
      <w:color w:val="auto"/>
      <w:kern w:val="0"/>
      <w:sz w:val="22"/>
      <w:szCs w:val="22"/>
      <w:lang w:val="pl-PL" w:eastAsia="en-US" w:bidi="ar-SA"/>
    </w:rPr>
  </w:style>
  <w:style w:type="character" w:styleId="DefaultParagraphFont">
    <w:name w:val="Default Paragraph Font"/>
    <w:qFormat/>
    <w:rPr/>
  </w:style>
  <w:style w:type="character" w:styleId="Nagwek1Znak">
    <w:name w:val="Nagłówek 1 Znak"/>
    <w:basedOn w:val="DefaultParagraphFont"/>
    <w:link w:val="Heading11"/>
    <w:qFormat/>
    <w:rPr>
      <w:rFonts w:ascii="Cambria" w:hAnsi="Cambria" w:cs="Times New Roman"/>
      <w:b/>
      <w:bCs/>
      <w:color w:val="365F91"/>
      <w:sz w:val="28"/>
      <w:szCs w:val="28"/>
      <w:lang w:eastAsia="en-US"/>
    </w:rPr>
  </w:style>
  <w:style w:type="character" w:styleId="TekstpodstawowyZnak">
    <w:name w:val="Tekst podstawowy Znak"/>
    <w:basedOn w:val="DefaultParagraphFont"/>
    <w:qFormat/>
    <w:rPr>
      <w:rFonts w:ascii="Times New Roman" w:hAnsi="Times New Roman" w:cs="Times New Roman"/>
      <w:sz w:val="24"/>
    </w:rPr>
  </w:style>
  <w:style w:type="character" w:styleId="BalloonTextChar">
    <w:name w:val="Balloon Text Char"/>
    <w:basedOn w:val="DefaultParagraphFont"/>
    <w:qFormat/>
    <w:rPr>
      <w:rFonts w:ascii="Tahoma" w:hAnsi="Tahoma" w:cs="Tahoma"/>
      <w:sz w:val="16"/>
      <w:szCs w:val="16"/>
      <w:lang w:eastAsia="en-US"/>
    </w:rPr>
  </w:style>
  <w:style w:type="character" w:styleId="NagwekZnak">
    <w:name w:val="Nagłówek Znak"/>
    <w:basedOn w:val="DefaultParagraphFont"/>
    <w:link w:val="Header1"/>
    <w:qFormat/>
    <w:rPr>
      <w:rFonts w:cs="Times New Roman"/>
      <w:sz w:val="22"/>
      <w:szCs w:val="22"/>
      <w:lang w:eastAsia="en-US"/>
    </w:rPr>
  </w:style>
  <w:style w:type="character" w:styleId="StopkaZnak">
    <w:name w:val="Stopka Znak"/>
    <w:basedOn w:val="DefaultParagraphFont"/>
    <w:link w:val="Footer1"/>
    <w:qFormat/>
    <w:rPr>
      <w:rFonts w:cs="Times New Roman"/>
      <w:sz w:val="22"/>
      <w:szCs w:val="22"/>
      <w:lang w:eastAsia="en-US"/>
    </w:rPr>
  </w:style>
  <w:style w:type="character" w:styleId="Hyperlink">
    <w:name w:val="Hyperlink"/>
    <w:basedOn w:val="DefaultParagraphFont"/>
    <w:rPr>
      <w:rFonts w:cs="Times New Roman"/>
      <w:color w:val="0000FF"/>
      <w:u w:val="single"/>
    </w:rPr>
  </w:style>
  <w:style w:type="character" w:styleId="Znakinumeracji">
    <w:name w:val="Znaki numeracji"/>
    <w:qFormat/>
    <w:rPr/>
  </w:style>
  <w:style w:type="character" w:styleId="Spec-sheet-caption">
    <w:name w:val="spec-sheet-caption"/>
    <w:basedOn w:val="DefaultParagraphFont"/>
    <w:qFormat/>
    <w:rPr>
      <w:rFonts w:cs="Times New Roman"/>
    </w:rPr>
  </w:style>
  <w:style w:type="character" w:styleId="NagwekZnak1">
    <w:name w:val="Nagłówek Znak1"/>
    <w:basedOn w:val="DefaultParagraphFont"/>
    <w:qFormat/>
    <w:rPr>
      <w:lang w:eastAsia="en-US"/>
    </w:rPr>
  </w:style>
  <w:style w:type="character" w:styleId="BodyTextChar1">
    <w:name w:val="Body Text Char1"/>
    <w:basedOn w:val="DefaultParagraphFont"/>
    <w:qFormat/>
    <w:rPr>
      <w:lang w:eastAsia="en-US"/>
    </w:rPr>
  </w:style>
  <w:style w:type="character" w:styleId="TekstdymkaZnak">
    <w:name w:val="Tekst dymka Znak"/>
    <w:basedOn w:val="DefaultParagraphFont"/>
    <w:link w:val="BalloonText"/>
    <w:qFormat/>
    <w:rPr>
      <w:rFonts w:ascii="Times New Roman" w:hAnsi="Times New Roman"/>
      <w:sz w:val="2"/>
      <w:szCs w:val="2"/>
      <w:lang w:eastAsia="en-US"/>
    </w:rPr>
  </w:style>
  <w:style w:type="character" w:styleId="TekstkomentarzaZnak">
    <w:name w:val="Tekst komentarza Znak"/>
    <w:basedOn w:val="DefaultParagraphFont"/>
    <w:link w:val="Annotationtext"/>
    <w:qFormat/>
    <w:rPr>
      <w:rFonts w:cs="Times New Roman"/>
      <w:lang w:eastAsia="en-US"/>
    </w:rPr>
  </w:style>
  <w:style w:type="character" w:styleId="Annotationreference">
    <w:name w:val="annotation reference"/>
    <w:basedOn w:val="DefaultParagraphFont"/>
    <w:qFormat/>
    <w:rPr>
      <w:rFonts w:cs="Times New Roman"/>
      <w:sz w:val="16"/>
      <w:szCs w:val="16"/>
    </w:rPr>
  </w:style>
  <w:style w:type="character" w:styleId="TematkomentarzaZnak">
    <w:name w:val="Temat komentarza Znak"/>
    <w:basedOn w:val="TekstkomentarzaZnak"/>
    <w:link w:val="Annotationsubject"/>
    <w:qFormat/>
    <w:rPr>
      <w:rFonts w:cs="Times New Roman"/>
      <w:b/>
      <w:bCs/>
      <w:lang w:eastAsia="en-US"/>
    </w:rPr>
  </w:style>
  <w:style w:type="character" w:styleId="StopkaZnak1">
    <w:name w:val="Stopka Znak1"/>
    <w:basedOn w:val="DefaultParagraphFont"/>
    <w:qFormat/>
    <w:rPr>
      <w:lang w:eastAsia="en-US"/>
    </w:rPr>
  </w:style>
  <w:style w:type="character" w:styleId="Znakiwypunktowania">
    <w:name w:val="Znaki wypunktowania"/>
    <w:qFormat/>
    <w:rPr>
      <w:rFonts w:ascii="OpenSymbol" w:hAnsi="OpenSymbol" w:eastAsia="OpenSymbol" w:cs="OpenSymbol"/>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pPr>
      <w:spacing w:lineRule="auto" w:line="240" w:before="0" w:after="0"/>
    </w:pPr>
    <w:rPr>
      <w:rFonts w:ascii="Times New Roman" w:hAnsi="Times New Roman" w:eastAsia="Times New Roman"/>
      <w:sz w:val="24"/>
      <w:szCs w:val="20"/>
      <w:lang w:eastAsia="pl-PL"/>
    </w:rPr>
  </w:style>
  <w:style w:type="paragraph" w:styleId="List">
    <w:name w:val="List"/>
    <w:basedOn w:val="BodyText"/>
    <w:pPr/>
    <w:rPr>
      <w:rFonts w:ascii="Arial" w:hAnsi="Arial"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ascii="Times New Roman" w:hAnsi="Times New Roman" w:cs="Arial"/>
    </w:rPr>
  </w:style>
  <w:style w:type="paragraph" w:styleId="Caption1">
    <w:name w:val="caption1"/>
    <w:basedOn w:val="Normal"/>
    <w:qFormat/>
    <w:pPr>
      <w:suppressLineNumbers/>
      <w:spacing w:before="120" w:after="120"/>
    </w:pPr>
    <w:rPr>
      <w:rFonts w:cs="Tahoma"/>
      <w:i/>
      <w:iCs/>
      <w:sz w:val="24"/>
      <w:szCs w:val="24"/>
    </w:rPr>
  </w:style>
  <w:style w:type="paragraph" w:styleId="Gwkaistopka">
    <w:name w:val="Główka i stopka"/>
    <w:basedOn w:val="Normal"/>
    <w:qFormat/>
    <w:pPr/>
    <w:rPr/>
  </w:style>
  <w:style w:type="paragraph" w:styleId="Header">
    <w:name w:val="Header"/>
    <w:basedOn w:val="Normal"/>
    <w:next w:val="BodyText"/>
    <w:link w:val="NagwekZnak1"/>
    <w:pPr>
      <w:keepNext w:val="true"/>
      <w:spacing w:before="240" w:after="120"/>
    </w:pPr>
    <w:rPr>
      <w:rFonts w:ascii="Arial" w:hAnsi="Arial" w:eastAsia="Microsoft YaHei" w:cs="Arial"/>
      <w:sz w:val="28"/>
      <w:szCs w:val="28"/>
    </w:rPr>
  </w:style>
  <w:style w:type="paragraph" w:styleId="Heading11">
    <w:name w:val="Heading 11"/>
    <w:basedOn w:val="Normal"/>
    <w:next w:val="Normal"/>
    <w:link w:val="Nagwek1Znak"/>
    <w:qFormat/>
    <w:pPr>
      <w:keepNext w:val="true"/>
      <w:keepLines/>
      <w:numPr>
        <w:ilvl w:val="0"/>
        <w:numId w:val="0"/>
      </w:numPr>
      <w:spacing w:before="480" w:after="0"/>
      <w:outlineLvl w:val="0"/>
    </w:pPr>
    <w:rPr>
      <w:rFonts w:ascii="Cambria" w:hAnsi="Cambria" w:eastAsia="Times New Roman"/>
      <w:b/>
      <w:bCs/>
      <w:color w:val="365F91"/>
      <w:sz w:val="28"/>
      <w:szCs w:val="28"/>
    </w:rPr>
  </w:style>
  <w:style w:type="paragraph" w:styleId="Caption11">
    <w:name w:val="Caption11"/>
    <w:basedOn w:val="Normal"/>
    <w:qFormat/>
    <w:pPr>
      <w:suppressLineNumbers/>
      <w:spacing w:before="120" w:after="120"/>
    </w:pPr>
    <w:rPr>
      <w:rFonts w:ascii="Times New Roman" w:hAnsi="Times New Roman" w:cs="Arial"/>
      <w:i/>
      <w:iCs/>
      <w:sz w:val="24"/>
      <w:szCs w:val="24"/>
    </w:rPr>
  </w:style>
  <w:style w:type="paragraph" w:styleId="NoSpacing">
    <w:name w:val="No Spacing"/>
    <w:qFormat/>
    <w:pPr>
      <w:widowControl/>
      <w:suppressAutoHyphens w:val="true"/>
      <w:overflowPunct w:val="false"/>
      <w:bidi w:val="0"/>
      <w:spacing w:before="0" w:after="0"/>
      <w:jc w:val="left"/>
    </w:pPr>
    <w:rPr>
      <w:rFonts w:ascii="Calibri" w:hAnsi="Calibri" w:eastAsia="Calibri" w:cs="Times New Roman"/>
      <w:color w:val="auto"/>
      <w:kern w:val="0"/>
      <w:sz w:val="22"/>
      <w:szCs w:val="22"/>
      <w:lang w:val="pl-PL" w:eastAsia="en-US" w:bidi="ar-SA"/>
    </w:rPr>
  </w:style>
  <w:style w:type="paragraph" w:styleId="BalloonText">
    <w:name w:val="Balloon Text"/>
    <w:basedOn w:val="Normal"/>
    <w:link w:val="TekstdymkaZnak"/>
    <w:qFormat/>
    <w:pPr>
      <w:spacing w:lineRule="auto" w:line="240" w:before="0" w:after="0"/>
    </w:pPr>
    <w:rPr>
      <w:rFonts w:ascii="Tahoma" w:hAnsi="Tahoma" w:cs="Tahoma"/>
      <w:sz w:val="16"/>
      <w:szCs w:val="16"/>
    </w:rPr>
  </w:style>
  <w:style w:type="paragraph" w:styleId="Header1">
    <w:name w:val="Header1"/>
    <w:basedOn w:val="Normal"/>
    <w:link w:val="NagwekZnak"/>
    <w:qFormat/>
    <w:pPr>
      <w:tabs>
        <w:tab w:val="clear" w:pos="708"/>
        <w:tab w:val="center" w:pos="4536" w:leader="none"/>
        <w:tab w:val="right" w:pos="9072" w:leader="none"/>
      </w:tabs>
      <w:spacing w:lineRule="auto" w:line="240" w:before="0" w:after="0"/>
    </w:pPr>
    <w:rPr/>
  </w:style>
  <w:style w:type="paragraph" w:styleId="Footer1">
    <w:name w:val="Footer1"/>
    <w:basedOn w:val="Normal"/>
    <w:link w:val="StopkaZnak"/>
    <w:qFormat/>
    <w:pPr>
      <w:tabs>
        <w:tab w:val="clear" w:pos="708"/>
        <w:tab w:val="center" w:pos="4536" w:leader="none"/>
        <w:tab w:val="right" w:pos="9072" w:leader="none"/>
      </w:tabs>
      <w:spacing w:lineRule="auto" w:line="240" w:before="0" w:after="0"/>
    </w:pPr>
    <w:rPr/>
  </w:style>
  <w:style w:type="paragraph" w:styleId="ListParagraph">
    <w:name w:val="List Paragraph"/>
    <w:basedOn w:val="Normal"/>
    <w:qFormat/>
    <w:pPr>
      <w:spacing w:lineRule="atLeast" w:line="200"/>
      <w:ind w:left="720"/>
    </w:pPr>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 w:type="paragraph" w:styleId="Wyliczkreska">
    <w:name w:val="Wylicz_kreska"/>
    <w:basedOn w:val="Normal"/>
    <w:qFormat/>
    <w:pPr>
      <w:ind w:hanging="180" w:left="720"/>
    </w:pPr>
    <w:rPr>
      <w:sz w:val="24"/>
    </w:rPr>
  </w:style>
  <w:style w:type="paragraph" w:styleId="TableParagraph">
    <w:name w:val="Table Paragraph"/>
    <w:basedOn w:val="Normal"/>
    <w:qFormat/>
    <w:pPr>
      <w:widowControl w:val="false"/>
      <w:spacing w:lineRule="auto" w:line="240" w:before="0" w:after="0"/>
    </w:pPr>
    <w:rPr>
      <w:rFonts w:cs="Calibri"/>
    </w:rPr>
  </w:style>
  <w:style w:type="paragraph" w:styleId="Standard">
    <w:name w:val="Standard"/>
    <w:qFormat/>
    <w:pPr>
      <w:widowControl w:val="false"/>
      <w:suppressAutoHyphens w:val="true"/>
      <w:overflowPunct w:val="false"/>
      <w:bidi w:val="0"/>
      <w:spacing w:before="0" w:after="0"/>
      <w:jc w:val="left"/>
    </w:pPr>
    <w:rPr>
      <w:rFonts w:ascii="Times New Roman" w:hAnsi="Times New Roman" w:eastAsia="Calibri" w:cs="Mangal;Cambria Math"/>
      <w:color w:val="auto"/>
      <w:kern w:val="0"/>
      <w:sz w:val="24"/>
      <w:szCs w:val="24"/>
      <w:lang w:val="pl-PL" w:eastAsia="zh-CN" w:bidi="hi-IN"/>
    </w:rPr>
  </w:style>
  <w:style w:type="paragraph" w:styleId="Annotationtext">
    <w:name w:val="annotation text"/>
    <w:basedOn w:val="Normal"/>
    <w:link w:val="TekstkomentarzaZnak"/>
    <w:qFormat/>
    <w:pPr>
      <w:spacing w:lineRule="auto" w:line="240"/>
    </w:pPr>
    <w:rPr>
      <w:sz w:val="20"/>
      <w:szCs w:val="20"/>
    </w:rPr>
  </w:style>
  <w:style w:type="paragraph" w:styleId="Annotationsubject">
    <w:name w:val="annotation subject"/>
    <w:basedOn w:val="Annotationtext"/>
    <w:next w:val="Annotationtext"/>
    <w:link w:val="TematkomentarzaZnak"/>
    <w:qFormat/>
    <w:pPr/>
    <w:rPr>
      <w:b/>
      <w:bCs/>
    </w:rPr>
  </w:style>
  <w:style w:type="paragraph" w:styleId="Zawartoramki">
    <w:name w:val="Zawartość ramki"/>
    <w:basedOn w:val="Normal"/>
    <w:qFormat/>
    <w:pPr/>
    <w:rPr/>
  </w:style>
  <w:style w:type="paragraph" w:styleId="Default">
    <w:name w:val="Default"/>
    <w:qFormat/>
    <w:pPr>
      <w:widowControl/>
      <w:suppressAutoHyphens w:val="true"/>
      <w:overflowPunct w:val="false"/>
      <w:bidi w:val="0"/>
      <w:spacing w:before="0" w:after="0"/>
      <w:jc w:val="left"/>
    </w:pPr>
    <w:rPr>
      <w:rFonts w:ascii="Arial" w:hAnsi="Arial" w:eastAsia="Calibri" w:cs="Arial"/>
      <w:color w:val="000000"/>
      <w:kern w:val="0"/>
      <w:sz w:val="24"/>
      <w:szCs w:val="24"/>
      <w:lang w:val="pl-PL" w:eastAsia="pl-PL" w:bidi="ar-SA"/>
    </w:rPr>
  </w:style>
  <w:style w:type="paragraph" w:styleId="Footer">
    <w:name w:val="Footer"/>
    <w:basedOn w:val="Normal"/>
    <w:link w:val="StopkaZnak1"/>
    <w:pPr>
      <w:tabs>
        <w:tab w:val="clear" w:pos="708"/>
        <w:tab w:val="center" w:pos="4536" w:leader="none"/>
        <w:tab w:val="right" w:pos="9072" w:leader="none"/>
      </w:tabs>
      <w:spacing w:lineRule="auto" w:line="240" w:before="0" w:after="0"/>
    </w:pPr>
    <w:rPr/>
  </w:style>
  <w:style w:type="numbering" w:styleId="Bezlisty">
    <w:name w:val="Bez listy"/>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528</TotalTime>
  <Application>LibreOffice/7.6.2.1$Windows_X86_64 LibreOffice_project/56f7684011345957bbf33a7ee678afaf4d2ba333</Application>
  <AppVersion>15.0000</AppVersion>
  <Pages>20</Pages>
  <Words>5955</Words>
  <Characters>38805</Characters>
  <CharactersWithSpaces>45786</CharactersWithSpaces>
  <Paragraphs>545</Paragraphs>
  <Company>Acer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2024-04-21T21:44:00Z</dcterms:created>
  <dc:creator>Eliza</dc:creator>
  <dc:description/>
  <dc:language>pl-PL</dc:language>
  <cp:lastModifiedBy/>
  <cp:lastPrinted>2026-03-10T08:06:58Z</cp:lastPrinted>
  <dcterms:modified xsi:type="dcterms:W3CDTF">2026-03-12T11:32:06Z</dcterms:modified>
  <cp:revision>97</cp:revision>
  <dc:subject/>
  <dc:title/>
</cp:coreProperties>
</file>

<file path=docProps/custom.xml><?xml version="1.0" encoding="utf-8"?>
<Properties xmlns="http://schemas.openxmlformats.org/officeDocument/2006/custom-properties" xmlns:vt="http://schemas.openxmlformats.org/officeDocument/2006/docPropsVTypes"/>
</file>